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E287" w14:textId="51ACDB2A" w:rsidR="00541302" w:rsidRPr="00CB61C2" w:rsidRDefault="00CB61C2" w:rsidP="00CB61C2">
      <w:pPr>
        <w:jc w:val="center"/>
        <w:rPr>
          <w:rFonts w:ascii="Times New Roman" w:hAnsi="Times New Roman" w:cs="Times New Roman"/>
          <w:sz w:val="28"/>
        </w:rPr>
      </w:pPr>
      <w:r w:rsidRPr="00CB61C2">
        <w:rPr>
          <w:rFonts w:ascii="Times New Roman" w:hAnsi="Times New Roman" w:cs="Times New Roman"/>
          <w:sz w:val="28"/>
        </w:rPr>
        <w:t xml:space="preserve">From the riches to the reality to revelation: The development of </w:t>
      </w:r>
      <w:r w:rsidRPr="00CB61C2">
        <w:rPr>
          <w:rFonts w:ascii="Times New Roman" w:hAnsi="Times New Roman" w:cs="Times New Roman"/>
          <w:i/>
          <w:sz w:val="28"/>
        </w:rPr>
        <w:t>qishi/kisil</w:t>
      </w:r>
      <w:r w:rsidRPr="00CB61C2">
        <w:rPr>
          <w:rFonts w:ascii="Times New Roman" w:hAnsi="Times New Roman" w:cs="Times New Roman"/>
          <w:sz w:val="28"/>
        </w:rPr>
        <w:t xml:space="preserve"> in Chinese and Korean</w:t>
      </w:r>
    </w:p>
    <w:p w14:paraId="6F60B07F" w14:textId="6B5FFAF6" w:rsidR="00CB61C2" w:rsidRPr="00CB61C2" w:rsidRDefault="00CB61C2">
      <w:pPr>
        <w:rPr>
          <w:rFonts w:ascii="Times New Roman" w:hAnsi="Times New Roman" w:cs="Times New Roman"/>
          <w:sz w:val="24"/>
        </w:rPr>
      </w:pPr>
    </w:p>
    <w:p w14:paraId="5C2B8EE6" w14:textId="10FD010B" w:rsidR="00CB61C2" w:rsidRPr="00CB61C2" w:rsidRDefault="00CB61C2" w:rsidP="00CB61C2">
      <w:pPr>
        <w:jc w:val="center"/>
        <w:rPr>
          <w:rFonts w:ascii="Times New Roman" w:hAnsi="Times New Roman" w:cs="Times New Roman"/>
          <w:sz w:val="24"/>
        </w:rPr>
      </w:pPr>
      <w:r w:rsidRPr="00CB61C2">
        <w:rPr>
          <w:rFonts w:ascii="Times New Roman" w:hAnsi="Times New Roman" w:cs="Times New Roman"/>
          <w:sz w:val="24"/>
          <w:vertAlign w:val="superscript"/>
        </w:rPr>
        <w:t>1</w:t>
      </w:r>
      <w:r>
        <w:rPr>
          <w:rFonts w:ascii="Times New Roman" w:hAnsi="Times New Roman" w:cs="Times New Roman"/>
          <w:sz w:val="24"/>
          <w:vertAlign w:val="superscript"/>
        </w:rPr>
        <w:t>,2</w:t>
      </w:r>
      <w:r w:rsidRPr="00CB61C2">
        <w:rPr>
          <w:rFonts w:ascii="Times New Roman" w:hAnsi="Times New Roman" w:cs="Times New Roman"/>
          <w:sz w:val="24"/>
        </w:rPr>
        <w:t xml:space="preserve">Seongha Rhee and </w:t>
      </w:r>
      <w:r>
        <w:rPr>
          <w:rFonts w:ascii="Times New Roman" w:hAnsi="Times New Roman" w:cs="Times New Roman"/>
          <w:sz w:val="24"/>
          <w:vertAlign w:val="superscript"/>
        </w:rPr>
        <w:t>3</w:t>
      </w:r>
      <w:r w:rsidRPr="00CB61C2">
        <w:rPr>
          <w:rFonts w:ascii="Times New Roman" w:hAnsi="Times New Roman" w:cs="Times New Roman"/>
          <w:sz w:val="24"/>
        </w:rPr>
        <w:t>Lin Zhang</w:t>
      </w:r>
    </w:p>
    <w:p w14:paraId="67BA9680" w14:textId="378CB67B" w:rsidR="00CB61C2" w:rsidRPr="00CB61C2" w:rsidRDefault="00CB61C2" w:rsidP="00CB61C2">
      <w:pPr>
        <w:jc w:val="center"/>
        <w:rPr>
          <w:rFonts w:ascii="Times New Roman" w:hAnsi="Times New Roman" w:cs="Times New Roman"/>
          <w:sz w:val="24"/>
        </w:rPr>
      </w:pPr>
      <w:r w:rsidRPr="00CB61C2">
        <w:rPr>
          <w:rFonts w:ascii="Times New Roman" w:hAnsi="Times New Roman" w:cs="Times New Roman"/>
          <w:sz w:val="24"/>
          <w:vertAlign w:val="superscript"/>
        </w:rPr>
        <w:t>1</w:t>
      </w:r>
      <w:r w:rsidRPr="00CB61C2">
        <w:rPr>
          <w:rFonts w:ascii="Times New Roman" w:hAnsi="Times New Roman" w:cs="Times New Roman"/>
          <w:sz w:val="24"/>
        </w:rPr>
        <w:t>Faculty of Liberal Arts, Mahidol Univ.</w:t>
      </w:r>
      <w:r>
        <w:rPr>
          <w:rFonts w:ascii="Times New Roman" w:hAnsi="Times New Roman" w:cs="Times New Roman"/>
          <w:sz w:val="24"/>
        </w:rPr>
        <w:t>,</w:t>
      </w:r>
      <w:r w:rsidRPr="00CB61C2">
        <w:rPr>
          <w:rFonts w:ascii="Times New Roman" w:hAnsi="Times New Roman" w:cs="Times New Roman"/>
          <w:sz w:val="24"/>
        </w:rPr>
        <w:t xml:space="preserve"> </w:t>
      </w:r>
      <w:r w:rsidRPr="00CB61C2">
        <w:rPr>
          <w:rFonts w:ascii="Times New Roman" w:hAnsi="Times New Roman" w:cs="Times New Roman"/>
          <w:sz w:val="24"/>
          <w:vertAlign w:val="superscript"/>
        </w:rPr>
        <w:t>2</w:t>
      </w:r>
      <w:r w:rsidRPr="00CB61C2">
        <w:rPr>
          <w:rFonts w:ascii="Times New Roman" w:hAnsi="Times New Roman" w:cs="Times New Roman"/>
          <w:sz w:val="24"/>
        </w:rPr>
        <w:t xml:space="preserve">Hankuk Univ. of Foreign Studies, </w:t>
      </w:r>
      <w:r>
        <w:rPr>
          <w:rFonts w:ascii="Times New Roman" w:hAnsi="Times New Roman" w:cs="Times New Roman"/>
          <w:sz w:val="24"/>
          <w:vertAlign w:val="superscript"/>
        </w:rPr>
        <w:t>3</w:t>
      </w:r>
      <w:r w:rsidRPr="00CB61C2">
        <w:rPr>
          <w:rFonts w:ascii="Times New Roman" w:hAnsi="Times New Roman" w:cs="Times New Roman"/>
          <w:sz w:val="24"/>
        </w:rPr>
        <w:t>Seoul National University</w:t>
      </w:r>
    </w:p>
    <w:p w14:paraId="405933D9" w14:textId="7CC8D7EC" w:rsidR="00CB61C2" w:rsidRDefault="00CB61C2">
      <w:pPr>
        <w:rPr>
          <w:rFonts w:ascii="Times New Roman" w:hAnsi="Times New Roman" w:cs="Times New Roman"/>
          <w:sz w:val="24"/>
        </w:rPr>
      </w:pPr>
    </w:p>
    <w:p w14:paraId="401060A9" w14:textId="09BE8251" w:rsidR="00CB61C2" w:rsidRDefault="00CB61C2">
      <w:pPr>
        <w:rPr>
          <w:rFonts w:ascii="Times New Roman" w:hAnsi="Times New Roman" w:cs="Times New Roman"/>
          <w:sz w:val="24"/>
        </w:rPr>
      </w:pPr>
      <w:r>
        <w:rPr>
          <w:rFonts w:ascii="Times New Roman" w:hAnsi="Times New Roman" w:cs="Times New Roman"/>
          <w:sz w:val="24"/>
        </w:rPr>
        <w:t xml:space="preserve">The Chinese noun phrase </w:t>
      </w:r>
      <w:r w:rsidRPr="000E3BCB">
        <w:rPr>
          <w:rFonts w:ascii="Times New Roman" w:hAnsi="Times New Roman" w:cs="Times New Roman"/>
          <w:i/>
          <w:sz w:val="24"/>
        </w:rPr>
        <w:t>qi</w:t>
      </w:r>
      <w:r w:rsidR="000E3BCB">
        <w:rPr>
          <w:rFonts w:ascii="Times New Roman" w:hAnsi="Times New Roman" w:cs="Times New Roman"/>
          <w:i/>
          <w:sz w:val="24"/>
        </w:rPr>
        <w:t>-</w:t>
      </w:r>
      <w:r w:rsidRPr="000E3BCB">
        <w:rPr>
          <w:rFonts w:ascii="Times New Roman" w:hAnsi="Times New Roman" w:cs="Times New Roman"/>
          <w:i/>
          <w:sz w:val="24"/>
        </w:rPr>
        <w:t>shi</w:t>
      </w:r>
      <w:r>
        <w:rPr>
          <w:rFonts w:ascii="Times New Roman" w:hAnsi="Times New Roman" w:cs="Times New Roman"/>
          <w:sz w:val="24"/>
        </w:rPr>
        <w:t xml:space="preserve"> ‘the riches, the reality’ and its borrowed form </w:t>
      </w:r>
      <w:r w:rsidRPr="000E3BCB">
        <w:rPr>
          <w:rFonts w:ascii="Times New Roman" w:hAnsi="Times New Roman" w:cs="Times New Roman"/>
          <w:i/>
          <w:sz w:val="24"/>
        </w:rPr>
        <w:t>ki</w:t>
      </w:r>
      <w:r w:rsidR="000E3BCB">
        <w:rPr>
          <w:rFonts w:ascii="Times New Roman" w:hAnsi="Times New Roman" w:cs="Times New Roman"/>
          <w:i/>
          <w:sz w:val="24"/>
        </w:rPr>
        <w:t>-</w:t>
      </w:r>
      <w:r w:rsidRPr="000E3BCB">
        <w:rPr>
          <w:rFonts w:ascii="Times New Roman" w:hAnsi="Times New Roman" w:cs="Times New Roman"/>
          <w:i/>
          <w:sz w:val="24"/>
        </w:rPr>
        <w:t>sil</w:t>
      </w:r>
      <w:r>
        <w:rPr>
          <w:rFonts w:ascii="Times New Roman" w:hAnsi="Times New Roman" w:cs="Times New Roman"/>
          <w:sz w:val="24"/>
        </w:rPr>
        <w:t xml:space="preserve"> in Korean exhibit a series of parallel semantic and pragmatic developments (‘semasiological cyclicity’, Hansen 2008). The two cognate lexemes have undergone a series of changes</w:t>
      </w:r>
      <w:r w:rsidR="00006244">
        <w:rPr>
          <w:rFonts w:ascii="Times New Roman" w:hAnsi="Times New Roman" w:cs="Times New Roman"/>
          <w:sz w:val="24"/>
        </w:rPr>
        <w:t xml:space="preserve"> that can be characterized as:</w:t>
      </w:r>
      <w:r>
        <w:rPr>
          <w:rFonts w:ascii="Times New Roman" w:hAnsi="Times New Roman" w:cs="Times New Roman"/>
          <w:sz w:val="24"/>
        </w:rPr>
        <w:t xml:space="preserve"> noun phrase &gt; content adverbial &gt; discourse marker</w:t>
      </w:r>
      <w:r w:rsidRPr="00CB61C2">
        <w:rPr>
          <w:rFonts w:ascii="Times New Roman" w:hAnsi="Times New Roman" w:cs="Times New Roman"/>
          <w:sz w:val="24"/>
        </w:rPr>
        <w:t xml:space="preserve"> </w:t>
      </w:r>
      <w:r w:rsidR="00006244">
        <w:rPr>
          <w:rFonts w:ascii="Times New Roman" w:hAnsi="Times New Roman" w:cs="Times New Roman"/>
          <w:sz w:val="24"/>
        </w:rPr>
        <w:t xml:space="preserve">(DM), </w:t>
      </w:r>
      <w:r>
        <w:rPr>
          <w:rFonts w:ascii="Times New Roman" w:hAnsi="Times New Roman" w:cs="Times New Roman"/>
          <w:sz w:val="24"/>
        </w:rPr>
        <w:t>in terms of grammatical category; ‘its fruit’ &gt; ‘its fact/reality’ &gt; interpretive reality &gt; hidden reality &gt; preface</w:t>
      </w:r>
      <w:r w:rsidR="00006244">
        <w:rPr>
          <w:rFonts w:ascii="Times New Roman" w:hAnsi="Times New Roman" w:cs="Times New Roman"/>
          <w:sz w:val="24"/>
        </w:rPr>
        <w:t xml:space="preserve"> to revelation, in terms of meaning; and content-level uses &gt; context-level uses, in terms of function. Modern Chinese uses </w:t>
      </w:r>
      <w:r w:rsidR="00006244" w:rsidRPr="005D588C">
        <w:rPr>
          <w:rFonts w:ascii="Times New Roman" w:hAnsi="Times New Roman" w:cs="Times New Roman"/>
          <w:i/>
          <w:sz w:val="24"/>
        </w:rPr>
        <w:t>qishi</w:t>
      </w:r>
      <w:r w:rsidR="00006244">
        <w:rPr>
          <w:rFonts w:ascii="Times New Roman" w:hAnsi="Times New Roman" w:cs="Times New Roman"/>
          <w:sz w:val="24"/>
        </w:rPr>
        <w:t xml:space="preserve"> as a DM </w:t>
      </w:r>
      <w:r w:rsidR="005D588C">
        <w:rPr>
          <w:rFonts w:ascii="Times New Roman" w:hAnsi="Times New Roman" w:cs="Times New Roman"/>
          <w:sz w:val="24"/>
        </w:rPr>
        <w:t xml:space="preserve">to </w:t>
      </w:r>
      <w:r w:rsidR="00006244">
        <w:rPr>
          <w:rFonts w:ascii="Times New Roman" w:hAnsi="Times New Roman" w:cs="Times New Roman"/>
          <w:sz w:val="24"/>
        </w:rPr>
        <w:t xml:space="preserve">signal, among others, that the following information departs from common knowledge or perceived reality, and further that the addressee should be prepared for surprising information about to be revealed. The etymon has </w:t>
      </w:r>
      <w:r w:rsidR="005D588C">
        <w:rPr>
          <w:rFonts w:ascii="Times New Roman" w:hAnsi="Times New Roman" w:cs="Times New Roman"/>
          <w:sz w:val="24"/>
        </w:rPr>
        <w:t>traveled</w:t>
      </w:r>
      <w:r w:rsidR="00006244">
        <w:rPr>
          <w:rFonts w:ascii="Times New Roman" w:hAnsi="Times New Roman" w:cs="Times New Roman"/>
          <w:sz w:val="24"/>
        </w:rPr>
        <w:t xml:space="preserve"> a remarkably similar developmental path in Korean, even though oral contact between the two languages was nearly non-existent and the contact was limited to occasional import of written texts of religion, science, and technology. The similarity in change is noteworthy considering that contact-induced change generally occurs in spoken language (Heine and Kuteva 2005: 250). Thus, the situation is a linguistic analogue of identical twins reared apart, who have grown to be remarkably similar in different environment without </w:t>
      </w:r>
      <w:r w:rsidR="005D588C">
        <w:rPr>
          <w:rFonts w:ascii="Times New Roman" w:hAnsi="Times New Roman" w:cs="Times New Roman"/>
          <w:sz w:val="24"/>
        </w:rPr>
        <w:t xml:space="preserve">a </w:t>
      </w:r>
      <w:r w:rsidR="00006244">
        <w:rPr>
          <w:rFonts w:ascii="Times New Roman" w:hAnsi="Times New Roman" w:cs="Times New Roman"/>
          <w:sz w:val="24"/>
        </w:rPr>
        <w:t>meaningful level of mutual interaction. The Chinese ‘twin’ currently prospers as a DM, whereas the Korean ‘twin’ met an untimely demise in the 20</w:t>
      </w:r>
      <w:r w:rsidR="00006244" w:rsidRPr="00006244">
        <w:rPr>
          <w:rFonts w:ascii="Times New Roman" w:hAnsi="Times New Roman" w:cs="Times New Roman"/>
          <w:sz w:val="24"/>
          <w:vertAlign w:val="superscript"/>
        </w:rPr>
        <w:t>th</w:t>
      </w:r>
      <w:r w:rsidR="00006244">
        <w:rPr>
          <w:rFonts w:ascii="Times New Roman" w:hAnsi="Times New Roman" w:cs="Times New Roman"/>
          <w:sz w:val="24"/>
        </w:rPr>
        <w:t xml:space="preserve"> century as part of language purification initiative, </w:t>
      </w:r>
      <w:r w:rsidR="005D588C">
        <w:rPr>
          <w:rFonts w:ascii="Times New Roman" w:hAnsi="Times New Roman" w:cs="Times New Roman"/>
          <w:sz w:val="24"/>
        </w:rPr>
        <w:t xml:space="preserve">presumably </w:t>
      </w:r>
      <w:r w:rsidR="00006244">
        <w:rPr>
          <w:rFonts w:ascii="Times New Roman" w:hAnsi="Times New Roman" w:cs="Times New Roman"/>
          <w:sz w:val="24"/>
        </w:rPr>
        <w:t>because it is a phrasal</w:t>
      </w:r>
      <w:r w:rsidR="000E3BCB">
        <w:rPr>
          <w:rFonts w:ascii="Times New Roman" w:hAnsi="Times New Roman" w:cs="Times New Roman"/>
          <w:sz w:val="24"/>
        </w:rPr>
        <w:t xml:space="preserve"> (syntactic)</w:t>
      </w:r>
      <w:r w:rsidR="00006244">
        <w:rPr>
          <w:rFonts w:ascii="Times New Roman" w:hAnsi="Times New Roman" w:cs="Times New Roman"/>
          <w:sz w:val="24"/>
        </w:rPr>
        <w:t xml:space="preserve"> borrowing (cf. </w:t>
      </w:r>
      <w:r w:rsidR="00006244" w:rsidRPr="005D588C">
        <w:rPr>
          <w:rFonts w:ascii="Times New Roman" w:hAnsi="Times New Roman" w:cs="Times New Roman"/>
          <w:i/>
          <w:sz w:val="24"/>
        </w:rPr>
        <w:t>ki-sil</w:t>
      </w:r>
      <w:r w:rsidR="00006244">
        <w:rPr>
          <w:rFonts w:ascii="Times New Roman" w:hAnsi="Times New Roman" w:cs="Times New Roman"/>
          <w:sz w:val="24"/>
        </w:rPr>
        <w:t xml:space="preserve"> ‘that reality’</w:t>
      </w:r>
      <w:r w:rsidR="000E3BCB">
        <w:rPr>
          <w:rFonts w:ascii="Times New Roman" w:hAnsi="Times New Roman" w:cs="Times New Roman"/>
          <w:sz w:val="24"/>
        </w:rPr>
        <w:t>) with a high pedantic flavor, which contrasts with a large number of lexical borrowings that are tolerated. The similarity of change</w:t>
      </w:r>
      <w:r w:rsidR="005D588C">
        <w:rPr>
          <w:rFonts w:ascii="Times New Roman" w:hAnsi="Times New Roman" w:cs="Times New Roman"/>
          <w:sz w:val="24"/>
        </w:rPr>
        <w:t xml:space="preserve"> in the two languages</w:t>
      </w:r>
      <w:r w:rsidR="000E3BCB">
        <w:rPr>
          <w:rFonts w:ascii="Times New Roman" w:hAnsi="Times New Roman" w:cs="Times New Roman"/>
          <w:sz w:val="24"/>
        </w:rPr>
        <w:t xml:space="preserve"> strongly suggests similar cognitive mechansims driving language change, and the different fates of the etymons show that the course of language change may be </w:t>
      </w:r>
      <w:r w:rsidR="005D588C">
        <w:rPr>
          <w:rFonts w:ascii="Times New Roman" w:hAnsi="Times New Roman" w:cs="Times New Roman"/>
          <w:sz w:val="24"/>
        </w:rPr>
        <w:t>affected by</w:t>
      </w:r>
      <w:r w:rsidR="000E3BCB">
        <w:rPr>
          <w:rFonts w:ascii="Times New Roman" w:hAnsi="Times New Roman" w:cs="Times New Roman"/>
          <w:sz w:val="24"/>
        </w:rPr>
        <w:t xml:space="preserve"> diverse factors such as external intervention by language purism.</w:t>
      </w:r>
    </w:p>
    <w:p w14:paraId="6C9A0762" w14:textId="6C1A3003" w:rsidR="005D588C" w:rsidRDefault="005D588C">
      <w:pPr>
        <w:rPr>
          <w:rFonts w:ascii="Times New Roman" w:hAnsi="Times New Roman" w:cs="Times New Roman"/>
          <w:sz w:val="24"/>
        </w:rPr>
      </w:pPr>
    </w:p>
    <w:p w14:paraId="43B0D535" w14:textId="6C11FB25" w:rsidR="005D588C" w:rsidRDefault="005D588C">
      <w:pPr>
        <w:rPr>
          <w:rFonts w:ascii="Times New Roman" w:hAnsi="Times New Roman" w:cs="Times New Roman"/>
          <w:sz w:val="24"/>
        </w:rPr>
      </w:pPr>
      <w:r>
        <w:rPr>
          <w:rFonts w:ascii="Times New Roman" w:hAnsi="Times New Roman" w:cs="Times New Roman"/>
          <w:sz w:val="24"/>
        </w:rPr>
        <w:t>References</w:t>
      </w:r>
    </w:p>
    <w:p w14:paraId="73A9AB16" w14:textId="77777777" w:rsidR="00C52C6B" w:rsidRPr="005D588C" w:rsidRDefault="00AF7EDB" w:rsidP="005D588C">
      <w:pPr>
        <w:tabs>
          <w:tab w:val="num" w:pos="720"/>
        </w:tabs>
        <w:ind w:left="709" w:hanging="709"/>
        <w:rPr>
          <w:rFonts w:ascii="Times New Roman" w:hAnsi="Times New Roman" w:cs="Times New Roman"/>
          <w:sz w:val="24"/>
        </w:rPr>
      </w:pPr>
      <w:r w:rsidRPr="005D588C">
        <w:rPr>
          <w:rFonts w:ascii="Times New Roman" w:hAnsi="Times New Roman" w:cs="Times New Roman"/>
          <w:sz w:val="24"/>
        </w:rPr>
        <w:t xml:space="preserve">Hansen, Maj-Britt Mosegaard. 2008. </w:t>
      </w:r>
      <w:r w:rsidRPr="005D588C">
        <w:rPr>
          <w:rFonts w:ascii="Times New Roman" w:hAnsi="Times New Roman" w:cs="Times New Roman"/>
          <w:i/>
          <w:iCs/>
          <w:sz w:val="24"/>
        </w:rPr>
        <w:t xml:space="preserve">Particles at the Semantics/Pragmatics Interface: Synchronic and Diachronic Issues. A Study with Special Reference to the French Phasal Adverbs </w:t>
      </w:r>
      <w:r w:rsidRPr="005D588C">
        <w:rPr>
          <w:rFonts w:ascii="Times New Roman" w:hAnsi="Times New Roman" w:cs="Times New Roman"/>
          <w:sz w:val="24"/>
        </w:rPr>
        <w:t>(Current Research in the Semantics/Pragmatics Interface 19). Oxford: Elsevier/Leiden: Brill.</w:t>
      </w:r>
    </w:p>
    <w:p w14:paraId="22154260" w14:textId="67A6F77F" w:rsidR="00CB61C2" w:rsidRPr="00CB61C2" w:rsidRDefault="00AF7EDB" w:rsidP="005D588C">
      <w:pPr>
        <w:ind w:left="709" w:hanging="709"/>
        <w:rPr>
          <w:rFonts w:ascii="Times New Roman" w:hAnsi="Times New Roman" w:cs="Times New Roman"/>
          <w:sz w:val="24"/>
        </w:rPr>
      </w:pPr>
      <w:r w:rsidRPr="005D588C">
        <w:rPr>
          <w:rFonts w:ascii="Times New Roman" w:hAnsi="Times New Roman" w:cs="Times New Roman"/>
          <w:sz w:val="24"/>
        </w:rPr>
        <w:t xml:space="preserve">Heine, Bernd and Tania Kuteva. 2005. </w:t>
      </w:r>
      <w:r w:rsidRPr="005D588C">
        <w:rPr>
          <w:rFonts w:ascii="Times New Roman" w:hAnsi="Times New Roman" w:cs="Times New Roman"/>
          <w:i/>
          <w:iCs/>
          <w:sz w:val="24"/>
        </w:rPr>
        <w:t>Language Contact and Grammatical Change</w:t>
      </w:r>
      <w:r w:rsidRPr="005D588C">
        <w:rPr>
          <w:rFonts w:ascii="Times New Roman" w:hAnsi="Times New Roman" w:cs="Times New Roman"/>
          <w:sz w:val="24"/>
        </w:rPr>
        <w:t xml:space="preserve"> (Cambridge Approaches to Language Contact). Cambridge: Cambridge University Press.</w:t>
      </w:r>
    </w:p>
    <w:sectPr w:rsidR="00CB61C2" w:rsidRPr="00CB61C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1CA3" w14:textId="77777777" w:rsidR="00AF7EDB" w:rsidRDefault="00AF7EDB" w:rsidP="00CB61C2">
      <w:pPr>
        <w:spacing w:after="0" w:line="240" w:lineRule="auto"/>
      </w:pPr>
      <w:r>
        <w:separator/>
      </w:r>
    </w:p>
  </w:endnote>
  <w:endnote w:type="continuationSeparator" w:id="0">
    <w:p w14:paraId="7EB3BA16" w14:textId="77777777" w:rsidR="00AF7EDB" w:rsidRDefault="00AF7EDB" w:rsidP="00CB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CC5B" w14:textId="77777777" w:rsidR="00AF7EDB" w:rsidRDefault="00AF7EDB" w:rsidP="00CB61C2">
      <w:pPr>
        <w:spacing w:after="0" w:line="240" w:lineRule="auto"/>
      </w:pPr>
      <w:r>
        <w:separator/>
      </w:r>
    </w:p>
  </w:footnote>
  <w:footnote w:type="continuationSeparator" w:id="0">
    <w:p w14:paraId="711D7D46" w14:textId="77777777" w:rsidR="00AF7EDB" w:rsidRDefault="00AF7EDB" w:rsidP="00CB6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79E"/>
    <w:multiLevelType w:val="hybridMultilevel"/>
    <w:tmpl w:val="551EBE76"/>
    <w:lvl w:ilvl="0" w:tplc="2F564110">
      <w:start w:val="1"/>
      <w:numFmt w:val="bullet"/>
      <w:lvlText w:val="•"/>
      <w:lvlJc w:val="left"/>
      <w:pPr>
        <w:tabs>
          <w:tab w:val="num" w:pos="720"/>
        </w:tabs>
        <w:ind w:left="720" w:hanging="360"/>
      </w:pPr>
      <w:rPr>
        <w:rFonts w:ascii="Arial" w:hAnsi="Arial" w:hint="default"/>
      </w:rPr>
    </w:lvl>
    <w:lvl w:ilvl="1" w:tplc="95DEECD8" w:tentative="1">
      <w:start w:val="1"/>
      <w:numFmt w:val="bullet"/>
      <w:lvlText w:val="•"/>
      <w:lvlJc w:val="left"/>
      <w:pPr>
        <w:tabs>
          <w:tab w:val="num" w:pos="1440"/>
        </w:tabs>
        <w:ind w:left="1440" w:hanging="360"/>
      </w:pPr>
      <w:rPr>
        <w:rFonts w:ascii="Arial" w:hAnsi="Arial" w:hint="default"/>
      </w:rPr>
    </w:lvl>
    <w:lvl w:ilvl="2" w:tplc="E20A26BC" w:tentative="1">
      <w:start w:val="1"/>
      <w:numFmt w:val="bullet"/>
      <w:lvlText w:val="•"/>
      <w:lvlJc w:val="left"/>
      <w:pPr>
        <w:tabs>
          <w:tab w:val="num" w:pos="2160"/>
        </w:tabs>
        <w:ind w:left="2160" w:hanging="360"/>
      </w:pPr>
      <w:rPr>
        <w:rFonts w:ascii="Arial" w:hAnsi="Arial" w:hint="default"/>
      </w:rPr>
    </w:lvl>
    <w:lvl w:ilvl="3" w:tplc="4D088B10" w:tentative="1">
      <w:start w:val="1"/>
      <w:numFmt w:val="bullet"/>
      <w:lvlText w:val="•"/>
      <w:lvlJc w:val="left"/>
      <w:pPr>
        <w:tabs>
          <w:tab w:val="num" w:pos="2880"/>
        </w:tabs>
        <w:ind w:left="2880" w:hanging="360"/>
      </w:pPr>
      <w:rPr>
        <w:rFonts w:ascii="Arial" w:hAnsi="Arial" w:hint="default"/>
      </w:rPr>
    </w:lvl>
    <w:lvl w:ilvl="4" w:tplc="4E0A43EA" w:tentative="1">
      <w:start w:val="1"/>
      <w:numFmt w:val="bullet"/>
      <w:lvlText w:val="•"/>
      <w:lvlJc w:val="left"/>
      <w:pPr>
        <w:tabs>
          <w:tab w:val="num" w:pos="3600"/>
        </w:tabs>
        <w:ind w:left="3600" w:hanging="360"/>
      </w:pPr>
      <w:rPr>
        <w:rFonts w:ascii="Arial" w:hAnsi="Arial" w:hint="default"/>
      </w:rPr>
    </w:lvl>
    <w:lvl w:ilvl="5" w:tplc="E5E2B792" w:tentative="1">
      <w:start w:val="1"/>
      <w:numFmt w:val="bullet"/>
      <w:lvlText w:val="•"/>
      <w:lvlJc w:val="left"/>
      <w:pPr>
        <w:tabs>
          <w:tab w:val="num" w:pos="4320"/>
        </w:tabs>
        <w:ind w:left="4320" w:hanging="360"/>
      </w:pPr>
      <w:rPr>
        <w:rFonts w:ascii="Arial" w:hAnsi="Arial" w:hint="default"/>
      </w:rPr>
    </w:lvl>
    <w:lvl w:ilvl="6" w:tplc="0AAA994A" w:tentative="1">
      <w:start w:val="1"/>
      <w:numFmt w:val="bullet"/>
      <w:lvlText w:val="•"/>
      <w:lvlJc w:val="left"/>
      <w:pPr>
        <w:tabs>
          <w:tab w:val="num" w:pos="5040"/>
        </w:tabs>
        <w:ind w:left="5040" w:hanging="360"/>
      </w:pPr>
      <w:rPr>
        <w:rFonts w:ascii="Arial" w:hAnsi="Arial" w:hint="default"/>
      </w:rPr>
    </w:lvl>
    <w:lvl w:ilvl="7" w:tplc="348C4366" w:tentative="1">
      <w:start w:val="1"/>
      <w:numFmt w:val="bullet"/>
      <w:lvlText w:val="•"/>
      <w:lvlJc w:val="left"/>
      <w:pPr>
        <w:tabs>
          <w:tab w:val="num" w:pos="5760"/>
        </w:tabs>
        <w:ind w:left="5760" w:hanging="360"/>
      </w:pPr>
      <w:rPr>
        <w:rFonts w:ascii="Arial" w:hAnsi="Arial" w:hint="default"/>
      </w:rPr>
    </w:lvl>
    <w:lvl w:ilvl="8" w:tplc="22D837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C13EED"/>
    <w:multiLevelType w:val="hybridMultilevel"/>
    <w:tmpl w:val="815AF1CA"/>
    <w:lvl w:ilvl="0" w:tplc="6DB405FC">
      <w:start w:val="1"/>
      <w:numFmt w:val="bullet"/>
      <w:lvlText w:val="•"/>
      <w:lvlJc w:val="left"/>
      <w:pPr>
        <w:tabs>
          <w:tab w:val="num" w:pos="720"/>
        </w:tabs>
        <w:ind w:left="720" w:hanging="360"/>
      </w:pPr>
      <w:rPr>
        <w:rFonts w:ascii="Arial" w:hAnsi="Arial" w:hint="default"/>
      </w:rPr>
    </w:lvl>
    <w:lvl w:ilvl="1" w:tplc="162C0DA8" w:tentative="1">
      <w:start w:val="1"/>
      <w:numFmt w:val="bullet"/>
      <w:lvlText w:val="•"/>
      <w:lvlJc w:val="left"/>
      <w:pPr>
        <w:tabs>
          <w:tab w:val="num" w:pos="1440"/>
        </w:tabs>
        <w:ind w:left="1440" w:hanging="360"/>
      </w:pPr>
      <w:rPr>
        <w:rFonts w:ascii="Arial" w:hAnsi="Arial" w:hint="default"/>
      </w:rPr>
    </w:lvl>
    <w:lvl w:ilvl="2" w:tplc="5ABC6250" w:tentative="1">
      <w:start w:val="1"/>
      <w:numFmt w:val="bullet"/>
      <w:lvlText w:val="•"/>
      <w:lvlJc w:val="left"/>
      <w:pPr>
        <w:tabs>
          <w:tab w:val="num" w:pos="2160"/>
        </w:tabs>
        <w:ind w:left="2160" w:hanging="360"/>
      </w:pPr>
      <w:rPr>
        <w:rFonts w:ascii="Arial" w:hAnsi="Arial" w:hint="default"/>
      </w:rPr>
    </w:lvl>
    <w:lvl w:ilvl="3" w:tplc="34C0FD58" w:tentative="1">
      <w:start w:val="1"/>
      <w:numFmt w:val="bullet"/>
      <w:lvlText w:val="•"/>
      <w:lvlJc w:val="left"/>
      <w:pPr>
        <w:tabs>
          <w:tab w:val="num" w:pos="2880"/>
        </w:tabs>
        <w:ind w:left="2880" w:hanging="360"/>
      </w:pPr>
      <w:rPr>
        <w:rFonts w:ascii="Arial" w:hAnsi="Arial" w:hint="default"/>
      </w:rPr>
    </w:lvl>
    <w:lvl w:ilvl="4" w:tplc="A3A4668E" w:tentative="1">
      <w:start w:val="1"/>
      <w:numFmt w:val="bullet"/>
      <w:lvlText w:val="•"/>
      <w:lvlJc w:val="left"/>
      <w:pPr>
        <w:tabs>
          <w:tab w:val="num" w:pos="3600"/>
        </w:tabs>
        <w:ind w:left="3600" w:hanging="360"/>
      </w:pPr>
      <w:rPr>
        <w:rFonts w:ascii="Arial" w:hAnsi="Arial" w:hint="default"/>
      </w:rPr>
    </w:lvl>
    <w:lvl w:ilvl="5" w:tplc="EF2ABF74" w:tentative="1">
      <w:start w:val="1"/>
      <w:numFmt w:val="bullet"/>
      <w:lvlText w:val="•"/>
      <w:lvlJc w:val="left"/>
      <w:pPr>
        <w:tabs>
          <w:tab w:val="num" w:pos="4320"/>
        </w:tabs>
        <w:ind w:left="4320" w:hanging="360"/>
      </w:pPr>
      <w:rPr>
        <w:rFonts w:ascii="Arial" w:hAnsi="Arial" w:hint="default"/>
      </w:rPr>
    </w:lvl>
    <w:lvl w:ilvl="6" w:tplc="7FFA3DE2" w:tentative="1">
      <w:start w:val="1"/>
      <w:numFmt w:val="bullet"/>
      <w:lvlText w:val="•"/>
      <w:lvlJc w:val="left"/>
      <w:pPr>
        <w:tabs>
          <w:tab w:val="num" w:pos="5040"/>
        </w:tabs>
        <w:ind w:left="5040" w:hanging="360"/>
      </w:pPr>
      <w:rPr>
        <w:rFonts w:ascii="Arial" w:hAnsi="Arial" w:hint="default"/>
      </w:rPr>
    </w:lvl>
    <w:lvl w:ilvl="7" w:tplc="751C2A2E" w:tentative="1">
      <w:start w:val="1"/>
      <w:numFmt w:val="bullet"/>
      <w:lvlText w:val="•"/>
      <w:lvlJc w:val="left"/>
      <w:pPr>
        <w:tabs>
          <w:tab w:val="num" w:pos="5760"/>
        </w:tabs>
        <w:ind w:left="5760" w:hanging="360"/>
      </w:pPr>
      <w:rPr>
        <w:rFonts w:ascii="Arial" w:hAnsi="Arial" w:hint="default"/>
      </w:rPr>
    </w:lvl>
    <w:lvl w:ilvl="8" w:tplc="A42CB3AA" w:tentative="1">
      <w:start w:val="1"/>
      <w:numFmt w:val="bullet"/>
      <w:lvlText w:val="•"/>
      <w:lvlJc w:val="left"/>
      <w:pPr>
        <w:tabs>
          <w:tab w:val="num" w:pos="6480"/>
        </w:tabs>
        <w:ind w:left="6480" w:hanging="360"/>
      </w:pPr>
      <w:rPr>
        <w:rFonts w:ascii="Arial" w:hAnsi="Arial" w:hint="default"/>
      </w:rPr>
    </w:lvl>
  </w:abstractNum>
  <w:num w:numId="1" w16cid:durableId="1487429095">
    <w:abstractNumId w:val="0"/>
  </w:num>
  <w:num w:numId="2" w16cid:durableId="516309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02"/>
    <w:rsid w:val="00006244"/>
    <w:rsid w:val="000E3BCB"/>
    <w:rsid w:val="00541302"/>
    <w:rsid w:val="005D588C"/>
    <w:rsid w:val="00AD575C"/>
    <w:rsid w:val="00AF7EDB"/>
    <w:rsid w:val="00C52C6B"/>
    <w:rsid w:val="00CB61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DA1BB"/>
  <w15:chartTrackingRefBased/>
  <w15:docId w15:val="{5C31704E-1C52-4217-8C35-1F22D478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C2"/>
  </w:style>
  <w:style w:type="paragraph" w:styleId="Footer">
    <w:name w:val="footer"/>
    <w:basedOn w:val="Normal"/>
    <w:link w:val="FooterChar"/>
    <w:uiPriority w:val="99"/>
    <w:unhideWhenUsed/>
    <w:rsid w:val="00CB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9056">
      <w:bodyDiv w:val="1"/>
      <w:marLeft w:val="0"/>
      <w:marRight w:val="0"/>
      <w:marTop w:val="0"/>
      <w:marBottom w:val="0"/>
      <w:divBdr>
        <w:top w:val="none" w:sz="0" w:space="0" w:color="auto"/>
        <w:left w:val="none" w:sz="0" w:space="0" w:color="auto"/>
        <w:bottom w:val="none" w:sz="0" w:space="0" w:color="auto"/>
        <w:right w:val="none" w:sz="0" w:space="0" w:color="auto"/>
      </w:divBdr>
      <w:divsChild>
        <w:div w:id="1256288527">
          <w:marLeft w:val="360"/>
          <w:marRight w:val="0"/>
          <w:marTop w:val="200"/>
          <w:marBottom w:val="0"/>
          <w:divBdr>
            <w:top w:val="none" w:sz="0" w:space="0" w:color="auto"/>
            <w:left w:val="none" w:sz="0" w:space="0" w:color="auto"/>
            <w:bottom w:val="none" w:sz="0" w:space="0" w:color="auto"/>
            <w:right w:val="none" w:sz="0" w:space="0" w:color="auto"/>
          </w:divBdr>
        </w:div>
      </w:divsChild>
    </w:div>
    <w:div w:id="286546361">
      <w:bodyDiv w:val="1"/>
      <w:marLeft w:val="0"/>
      <w:marRight w:val="0"/>
      <w:marTop w:val="0"/>
      <w:marBottom w:val="0"/>
      <w:divBdr>
        <w:top w:val="none" w:sz="0" w:space="0" w:color="auto"/>
        <w:left w:val="none" w:sz="0" w:space="0" w:color="auto"/>
        <w:bottom w:val="none" w:sz="0" w:space="0" w:color="auto"/>
        <w:right w:val="none" w:sz="0" w:space="0" w:color="auto"/>
      </w:divBdr>
      <w:divsChild>
        <w:div w:id="14959503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4</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Seongha Rhee</dc:creator>
  <cp:keywords/>
  <dc:description/>
  <cp:lastModifiedBy>Maj-Britt Mosegaard Hansen</cp:lastModifiedBy>
  <cp:revision>2</cp:revision>
  <dcterms:created xsi:type="dcterms:W3CDTF">2023-01-05T10:27:00Z</dcterms:created>
  <dcterms:modified xsi:type="dcterms:W3CDTF">2023-01-05T10:27:00Z</dcterms:modified>
</cp:coreProperties>
</file>