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1536" w14:textId="2605F2B8" w:rsidR="005A17A0" w:rsidRPr="00CB6FC3" w:rsidRDefault="00AA0BE7" w:rsidP="00CB6FC3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Bidirectional c</w:t>
      </w:r>
      <w:r w:rsidR="00700249">
        <w:rPr>
          <w:rFonts w:ascii="Calibri" w:hAnsi="Calibri" w:cs="Calibri"/>
          <w:b/>
          <w:bCs/>
        </w:rPr>
        <w:t>ycles</w:t>
      </w:r>
      <w:r w:rsidR="00F17230">
        <w:rPr>
          <w:rFonts w:ascii="Calibri" w:hAnsi="Calibri" w:cs="Calibri"/>
          <w:b/>
          <w:bCs/>
        </w:rPr>
        <w:t xml:space="preserve"> of </w:t>
      </w:r>
      <w:r w:rsidR="00700249">
        <w:rPr>
          <w:rFonts w:ascii="Calibri" w:hAnsi="Calibri" w:cs="Calibri"/>
          <w:b/>
          <w:bCs/>
        </w:rPr>
        <w:t xml:space="preserve">change between </w:t>
      </w:r>
      <w:r w:rsidR="00FF6D1E" w:rsidRPr="00CB6FC3">
        <w:rPr>
          <w:rFonts w:ascii="Calibri" w:hAnsi="Calibri" w:cs="Calibri"/>
          <w:b/>
          <w:bCs/>
        </w:rPr>
        <w:t>modals and conditionals</w:t>
      </w:r>
    </w:p>
    <w:p w14:paraId="2A7992BD" w14:textId="7D04E781" w:rsidR="001943E9" w:rsidRPr="00CB6FC3" w:rsidRDefault="001943E9">
      <w:pPr>
        <w:rPr>
          <w:rFonts w:ascii="Calibri" w:hAnsi="Calibri" w:cs="Calibri"/>
        </w:rPr>
      </w:pPr>
      <w:r w:rsidRPr="00CB6FC3">
        <w:rPr>
          <w:rFonts w:ascii="Calibri" w:hAnsi="Calibri" w:cs="Calibri"/>
        </w:rPr>
        <w:t xml:space="preserve">First, </w:t>
      </w:r>
      <w:r w:rsidR="00ED6C1F" w:rsidRPr="00CB6FC3">
        <w:rPr>
          <w:rFonts w:ascii="Calibri" w:hAnsi="Calibri" w:cs="Calibri"/>
        </w:rPr>
        <w:t>I will show</w:t>
      </w:r>
      <w:r w:rsidR="008310E7" w:rsidRPr="00CB6FC3">
        <w:rPr>
          <w:rFonts w:ascii="Calibri" w:hAnsi="Calibri" w:cs="Calibri"/>
        </w:rPr>
        <w:t xml:space="preserve"> </w:t>
      </w:r>
      <w:r w:rsidRPr="00CB6FC3">
        <w:rPr>
          <w:rFonts w:ascii="Calibri" w:hAnsi="Calibri" w:cs="Calibri"/>
        </w:rPr>
        <w:t>that two</w:t>
      </w:r>
      <w:r w:rsidR="00ED6C1F" w:rsidRPr="00CB6FC3">
        <w:rPr>
          <w:rFonts w:ascii="Calibri" w:hAnsi="Calibri" w:cs="Calibri"/>
        </w:rPr>
        <w:t xml:space="preserve"> </w:t>
      </w:r>
      <w:r w:rsidR="007F0494" w:rsidRPr="00CB6FC3">
        <w:rPr>
          <w:rFonts w:ascii="Calibri" w:hAnsi="Calibri" w:cs="Calibri"/>
        </w:rPr>
        <w:t xml:space="preserve">Chinese </w:t>
      </w:r>
      <w:r w:rsidR="00ED6C1F" w:rsidRPr="00CB6FC3">
        <w:rPr>
          <w:rFonts w:ascii="Calibri" w:hAnsi="Calibri" w:cs="Calibri"/>
        </w:rPr>
        <w:t xml:space="preserve">modals and </w:t>
      </w:r>
      <w:r w:rsidR="0082069F" w:rsidRPr="00CB6FC3">
        <w:rPr>
          <w:rFonts w:ascii="Calibri" w:hAnsi="Calibri" w:cs="Calibri"/>
        </w:rPr>
        <w:t xml:space="preserve">two </w:t>
      </w:r>
      <w:r w:rsidR="00ED6C1F" w:rsidRPr="00CB6FC3">
        <w:rPr>
          <w:rFonts w:ascii="Calibri" w:hAnsi="Calibri" w:cs="Calibri"/>
        </w:rPr>
        <w:t xml:space="preserve">conditionals </w:t>
      </w:r>
      <w:r w:rsidR="00114C6C" w:rsidRPr="00CB6FC3">
        <w:rPr>
          <w:rFonts w:ascii="Calibri" w:hAnsi="Calibri" w:cs="Calibri"/>
        </w:rPr>
        <w:t>have</w:t>
      </w:r>
      <w:r w:rsidR="00ED6C1F" w:rsidRPr="00CB6FC3">
        <w:rPr>
          <w:rFonts w:ascii="Calibri" w:hAnsi="Calibri" w:cs="Calibri"/>
        </w:rPr>
        <w:t xml:space="preserve"> develop</w:t>
      </w:r>
      <w:r w:rsidR="00114C6C" w:rsidRPr="00CB6FC3">
        <w:rPr>
          <w:rFonts w:ascii="Calibri" w:hAnsi="Calibri" w:cs="Calibri"/>
        </w:rPr>
        <w:t>ed into</w:t>
      </w:r>
      <w:r w:rsidR="00CB6FC3">
        <w:rPr>
          <w:rFonts w:ascii="Calibri" w:hAnsi="Calibri" w:cs="Calibri"/>
        </w:rPr>
        <w:t xml:space="preserve"> </w:t>
      </w:r>
      <w:r w:rsidR="0082069F" w:rsidRPr="00CB6FC3">
        <w:rPr>
          <w:rFonts w:ascii="Calibri" w:hAnsi="Calibri" w:cs="Calibri"/>
        </w:rPr>
        <w:t>conditionals and modals</w:t>
      </w:r>
      <w:r w:rsidR="00843AB9" w:rsidRPr="00CB6FC3">
        <w:rPr>
          <w:rFonts w:ascii="Calibri" w:hAnsi="Calibri" w:cs="Calibri"/>
        </w:rPr>
        <w:t xml:space="preserve"> </w:t>
      </w:r>
      <w:r w:rsidR="00C26555">
        <w:rPr>
          <w:rFonts w:ascii="Calibri" w:hAnsi="Calibri" w:cs="Calibri"/>
        </w:rPr>
        <w:t>(Kuo 2022</w:t>
      </w:r>
      <w:r w:rsidRPr="00CB6FC3">
        <w:rPr>
          <w:rFonts w:ascii="Calibri" w:hAnsi="Calibri" w:cs="Calibri"/>
        </w:rPr>
        <w:t>, 2024)</w:t>
      </w:r>
      <w:r w:rsidR="00B26932">
        <w:rPr>
          <w:rFonts w:ascii="Calibri" w:hAnsi="Calibri" w:cs="Calibri"/>
        </w:rPr>
        <w:t xml:space="preserve">. </w:t>
      </w:r>
      <w:r w:rsidRPr="00CB6FC3">
        <w:rPr>
          <w:rFonts w:ascii="Calibri" w:hAnsi="Calibri" w:cs="Calibri"/>
        </w:rPr>
        <w:t>Second, I will cons</w:t>
      </w:r>
      <w:r w:rsidR="003F7D60">
        <w:rPr>
          <w:rFonts w:ascii="Calibri" w:hAnsi="Calibri" w:cs="Calibri"/>
        </w:rPr>
        <w:t>ider the role of low frequency</w:t>
      </w:r>
      <w:r w:rsidR="00B26932">
        <w:rPr>
          <w:rFonts w:ascii="Calibri" w:hAnsi="Calibri" w:cs="Calibri"/>
        </w:rPr>
        <w:t xml:space="preserve"> in such bidirectional cycles. F</w:t>
      </w:r>
      <w:r w:rsidRPr="00CB6FC3">
        <w:rPr>
          <w:rFonts w:ascii="Calibri" w:hAnsi="Calibri" w:cs="Calibri"/>
        </w:rPr>
        <w:t xml:space="preserve">inally, </w:t>
      </w:r>
      <w:r w:rsidR="00B26932">
        <w:rPr>
          <w:rFonts w:ascii="Calibri" w:hAnsi="Calibri" w:cs="Calibri"/>
        </w:rPr>
        <w:t xml:space="preserve">I will discuss </w:t>
      </w:r>
      <w:r w:rsidRPr="00CB6FC3">
        <w:rPr>
          <w:rFonts w:ascii="Calibri" w:hAnsi="Calibri" w:cs="Calibri"/>
        </w:rPr>
        <w:t>its implications, especially for Detges’ (2020) satellite model of cyclic change.</w:t>
      </w:r>
    </w:p>
    <w:p w14:paraId="2D348E77" w14:textId="582DDD32" w:rsidR="00DB1B8A" w:rsidRPr="00CB6FC3" w:rsidRDefault="00FF6D1E" w:rsidP="00CB6FC3">
      <w:pPr>
        <w:ind w:firstLine="720"/>
        <w:rPr>
          <w:rFonts w:ascii="Calibri" w:hAnsi="Calibri" w:cs="Calibri"/>
        </w:rPr>
      </w:pPr>
      <w:r w:rsidRPr="00CB6FC3">
        <w:rPr>
          <w:rFonts w:ascii="Calibri" w:hAnsi="Calibri" w:cs="Calibri"/>
        </w:rPr>
        <w:t xml:space="preserve">Each of the modals and conditionals has a different history, but all </w:t>
      </w:r>
      <w:r w:rsidR="00D36816">
        <w:rPr>
          <w:rFonts w:ascii="Calibri" w:hAnsi="Calibri" w:cs="Calibri"/>
        </w:rPr>
        <w:t>undergo change</w:t>
      </w:r>
      <w:r w:rsidRPr="00CB6FC3">
        <w:rPr>
          <w:rFonts w:ascii="Calibri" w:hAnsi="Calibri" w:cs="Calibri"/>
        </w:rPr>
        <w:t xml:space="preserve"> in </w:t>
      </w:r>
      <w:r w:rsidR="00843AB9" w:rsidRPr="00CB6FC3">
        <w:rPr>
          <w:rFonts w:ascii="Calibri" w:hAnsi="Calibri" w:cs="Calibri"/>
        </w:rPr>
        <w:t>similar</w:t>
      </w:r>
      <w:r w:rsidRPr="00CB6FC3">
        <w:rPr>
          <w:rFonts w:ascii="Calibri" w:hAnsi="Calibri" w:cs="Calibri"/>
        </w:rPr>
        <w:t xml:space="preserve"> </w:t>
      </w:r>
      <w:r w:rsidR="001943E9" w:rsidRPr="00CB6FC3">
        <w:rPr>
          <w:rFonts w:ascii="Calibri" w:hAnsi="Calibri" w:cs="Calibri"/>
        </w:rPr>
        <w:t xml:space="preserve">“indirect speech act” </w:t>
      </w:r>
      <w:r w:rsidRPr="00CB6FC3">
        <w:rPr>
          <w:rFonts w:ascii="Calibri" w:hAnsi="Calibri" w:cs="Calibri"/>
        </w:rPr>
        <w:t>construction</w:t>
      </w:r>
      <w:r w:rsidR="00843AB9" w:rsidRPr="00CB6FC3">
        <w:rPr>
          <w:rFonts w:ascii="Calibri" w:hAnsi="Calibri" w:cs="Calibri"/>
        </w:rPr>
        <w:t xml:space="preserve">s </w:t>
      </w:r>
      <w:r w:rsidRPr="00CB6FC3">
        <w:rPr>
          <w:rFonts w:ascii="Calibri" w:hAnsi="Calibri" w:cs="Calibri"/>
        </w:rPr>
        <w:t>where</w:t>
      </w:r>
      <w:r w:rsidR="00B16CAF" w:rsidRPr="00CB6FC3">
        <w:rPr>
          <w:rFonts w:ascii="Calibri" w:hAnsi="Calibri" w:cs="Calibri"/>
        </w:rPr>
        <w:t xml:space="preserve"> they mean ‘must</w:t>
      </w:r>
      <w:r w:rsidR="00CB6FC3">
        <w:rPr>
          <w:rFonts w:ascii="Calibri" w:hAnsi="Calibri" w:cs="Calibri"/>
        </w:rPr>
        <w:t xml:space="preserve">; </w:t>
      </w:r>
      <w:r w:rsidR="00B16CAF" w:rsidRPr="00CB6FC3">
        <w:rPr>
          <w:rFonts w:ascii="Calibri" w:hAnsi="Calibri" w:cs="Calibri"/>
        </w:rPr>
        <w:t>only if’ and direct the addressee to perform the act described in</w:t>
      </w:r>
      <w:r w:rsidRPr="00CB6FC3">
        <w:rPr>
          <w:rFonts w:ascii="Calibri" w:hAnsi="Calibri" w:cs="Calibri"/>
        </w:rPr>
        <w:t xml:space="preserve"> </w:t>
      </w:r>
      <w:r w:rsidR="00B16CAF" w:rsidRPr="00CB6FC3">
        <w:rPr>
          <w:rFonts w:ascii="Calibri" w:hAnsi="Calibri" w:cs="Calibri"/>
        </w:rPr>
        <w:t xml:space="preserve">the first clause </w:t>
      </w:r>
      <w:r w:rsidRPr="00CB6FC3">
        <w:rPr>
          <w:rFonts w:ascii="Calibri" w:hAnsi="Calibri" w:cs="Calibri"/>
        </w:rPr>
        <w:t>in order to achieve the goal described</w:t>
      </w:r>
      <w:r w:rsidR="00350BA3" w:rsidRPr="00CB6FC3">
        <w:rPr>
          <w:rFonts w:ascii="Calibri" w:hAnsi="Calibri" w:cs="Calibri"/>
        </w:rPr>
        <w:t xml:space="preserve"> or implied</w:t>
      </w:r>
      <w:r w:rsidRPr="00CB6FC3">
        <w:rPr>
          <w:rFonts w:ascii="Calibri" w:hAnsi="Calibri" w:cs="Calibri"/>
        </w:rPr>
        <w:t xml:space="preserve"> </w:t>
      </w:r>
      <w:r w:rsidR="00B16CAF" w:rsidRPr="00CB6FC3">
        <w:rPr>
          <w:rFonts w:ascii="Calibri" w:hAnsi="Calibri" w:cs="Calibri"/>
        </w:rPr>
        <w:t>in</w:t>
      </w:r>
      <w:r w:rsidRPr="00CB6FC3">
        <w:rPr>
          <w:rFonts w:ascii="Calibri" w:hAnsi="Calibri" w:cs="Calibri"/>
        </w:rPr>
        <w:t xml:space="preserve"> the second clause. The construction</w:t>
      </w:r>
      <w:r w:rsidR="00843AB9" w:rsidRPr="00CB6FC3">
        <w:rPr>
          <w:rFonts w:ascii="Calibri" w:hAnsi="Calibri" w:cs="Calibri"/>
        </w:rPr>
        <w:t xml:space="preserve">s </w:t>
      </w:r>
      <w:r w:rsidR="00CB6FC3">
        <w:rPr>
          <w:rFonts w:ascii="Calibri" w:hAnsi="Calibri" w:cs="Calibri"/>
        </w:rPr>
        <w:t>are</w:t>
      </w:r>
      <w:r w:rsidRPr="00CB6FC3">
        <w:rPr>
          <w:rFonts w:ascii="Calibri" w:hAnsi="Calibri" w:cs="Calibri"/>
        </w:rPr>
        <w:t xml:space="preserve"> critical context</w:t>
      </w:r>
      <w:r w:rsidR="00843AB9" w:rsidRPr="00CB6FC3">
        <w:rPr>
          <w:rFonts w:ascii="Calibri" w:hAnsi="Calibri" w:cs="Calibri"/>
        </w:rPr>
        <w:t>s</w:t>
      </w:r>
      <w:r w:rsidRPr="00CB6FC3">
        <w:rPr>
          <w:rFonts w:ascii="Calibri" w:hAnsi="Calibri" w:cs="Calibri"/>
        </w:rPr>
        <w:t xml:space="preserve"> </w:t>
      </w:r>
      <w:r w:rsidR="0082069F" w:rsidRPr="00CB6FC3">
        <w:rPr>
          <w:rFonts w:ascii="Calibri" w:hAnsi="Calibri" w:cs="Calibri"/>
        </w:rPr>
        <w:t xml:space="preserve">where change is observed </w:t>
      </w:r>
      <w:r w:rsidR="00CB6FC3">
        <w:rPr>
          <w:rFonts w:ascii="Calibri" w:hAnsi="Calibri" w:cs="Calibri"/>
        </w:rPr>
        <w:t>as well as</w:t>
      </w:r>
      <w:r w:rsidR="0082069F" w:rsidRPr="00CB6FC3">
        <w:rPr>
          <w:rFonts w:ascii="Calibri" w:hAnsi="Calibri" w:cs="Calibri"/>
        </w:rPr>
        <w:t xml:space="preserve"> </w:t>
      </w:r>
      <w:r w:rsidR="000414C1" w:rsidRPr="00CB6FC3">
        <w:rPr>
          <w:rFonts w:ascii="Calibri" w:hAnsi="Calibri" w:cs="Calibri"/>
        </w:rPr>
        <w:t>context</w:t>
      </w:r>
      <w:r w:rsidR="00843AB9" w:rsidRPr="00CB6FC3">
        <w:rPr>
          <w:rFonts w:ascii="Calibri" w:hAnsi="Calibri" w:cs="Calibri"/>
        </w:rPr>
        <w:t>s</w:t>
      </w:r>
      <w:r w:rsidR="000414C1" w:rsidRPr="00CB6FC3">
        <w:rPr>
          <w:rFonts w:ascii="Calibri" w:hAnsi="Calibri" w:cs="Calibri"/>
        </w:rPr>
        <w:t xml:space="preserve"> of </w:t>
      </w:r>
      <w:r w:rsidR="0082069F" w:rsidRPr="00CB6FC3">
        <w:rPr>
          <w:rFonts w:ascii="Calibri" w:hAnsi="Calibri" w:cs="Calibri"/>
        </w:rPr>
        <w:t>“</w:t>
      </w:r>
      <w:r w:rsidR="000414C1" w:rsidRPr="00CB6FC3">
        <w:rPr>
          <w:rFonts w:ascii="Calibri" w:hAnsi="Calibri" w:cs="Calibri"/>
        </w:rPr>
        <w:t>morphosyntactic vagueness</w:t>
      </w:r>
      <w:r w:rsidR="0082069F" w:rsidRPr="00CB6FC3">
        <w:rPr>
          <w:rFonts w:ascii="Calibri" w:hAnsi="Calibri" w:cs="Calibri"/>
        </w:rPr>
        <w:t>”</w:t>
      </w:r>
      <w:r w:rsidR="000414C1" w:rsidRPr="00CB6FC3">
        <w:rPr>
          <w:rFonts w:ascii="Calibri" w:hAnsi="Calibri" w:cs="Calibri"/>
        </w:rPr>
        <w:t xml:space="preserve"> (Kuo 2021)</w:t>
      </w:r>
      <w:r w:rsidR="00CB6FC3">
        <w:rPr>
          <w:rFonts w:ascii="Calibri" w:hAnsi="Calibri" w:cs="Calibri"/>
        </w:rPr>
        <w:t xml:space="preserve"> where</w:t>
      </w:r>
      <w:r w:rsidR="0082069F" w:rsidRPr="00CB6FC3">
        <w:rPr>
          <w:rFonts w:ascii="Calibri" w:hAnsi="Calibri" w:cs="Calibri"/>
        </w:rPr>
        <w:t xml:space="preserve"> no distributional or functional distinction could be posited between </w:t>
      </w:r>
      <w:r w:rsidR="00843AB9" w:rsidRPr="00CB6FC3">
        <w:rPr>
          <w:rFonts w:ascii="Calibri" w:hAnsi="Calibri" w:cs="Calibri"/>
        </w:rPr>
        <w:t>modals and conditionals</w:t>
      </w:r>
      <w:r w:rsidR="0082069F" w:rsidRPr="00CB6FC3">
        <w:rPr>
          <w:rFonts w:ascii="Calibri" w:hAnsi="Calibri" w:cs="Calibri"/>
        </w:rPr>
        <w:t>. Specifically, the relevant modals and conditionals in the construction</w:t>
      </w:r>
      <w:r w:rsidR="00843AB9" w:rsidRPr="00CB6FC3">
        <w:rPr>
          <w:rFonts w:ascii="Calibri" w:hAnsi="Calibri" w:cs="Calibri"/>
        </w:rPr>
        <w:t xml:space="preserve">s </w:t>
      </w:r>
      <w:r w:rsidR="0082069F" w:rsidRPr="00CB6FC3">
        <w:rPr>
          <w:rFonts w:ascii="Calibri" w:hAnsi="Calibri" w:cs="Calibri"/>
        </w:rPr>
        <w:t xml:space="preserve">are </w:t>
      </w:r>
      <w:r w:rsidRPr="00CB6FC3">
        <w:rPr>
          <w:rFonts w:ascii="Calibri" w:hAnsi="Calibri" w:cs="Calibri"/>
        </w:rPr>
        <w:t>performative</w:t>
      </w:r>
      <w:r w:rsidR="00CC1490">
        <w:rPr>
          <w:rFonts w:ascii="Calibri" w:hAnsi="Calibri" w:cs="Calibri"/>
        </w:rPr>
        <w:t>ly</w:t>
      </w:r>
      <w:r w:rsidRPr="00CB6FC3">
        <w:rPr>
          <w:rFonts w:ascii="Calibri" w:hAnsi="Calibri" w:cs="Calibri"/>
        </w:rPr>
        <w:t xml:space="preserve"> equivalen</w:t>
      </w:r>
      <w:r w:rsidR="0082069F" w:rsidRPr="00CB6FC3">
        <w:rPr>
          <w:rFonts w:ascii="Calibri" w:hAnsi="Calibri" w:cs="Calibri"/>
        </w:rPr>
        <w:t>t</w:t>
      </w:r>
      <w:r w:rsidRPr="00CB6FC3">
        <w:rPr>
          <w:rFonts w:ascii="Calibri" w:hAnsi="Calibri" w:cs="Calibri"/>
        </w:rPr>
        <w:t xml:space="preserve"> (i.e. they perform the same speech act).</w:t>
      </w:r>
      <w:r w:rsidR="000414C1" w:rsidRPr="00CB6FC3">
        <w:rPr>
          <w:rFonts w:ascii="Calibri" w:hAnsi="Calibri" w:cs="Calibri"/>
        </w:rPr>
        <w:t xml:space="preserve"> </w:t>
      </w:r>
    </w:p>
    <w:p w14:paraId="792B691A" w14:textId="670DE9EB" w:rsidR="007F0494" w:rsidRPr="00CB6FC3" w:rsidRDefault="007F0494" w:rsidP="00CB6FC3">
      <w:pPr>
        <w:ind w:firstLine="720"/>
        <w:rPr>
          <w:rFonts w:ascii="Calibri" w:hAnsi="Calibri" w:cs="Calibri"/>
        </w:rPr>
      </w:pPr>
      <w:r w:rsidRPr="00CB6FC3">
        <w:rPr>
          <w:rFonts w:ascii="Calibri" w:hAnsi="Calibri" w:cs="Calibri"/>
        </w:rPr>
        <w:t>Compared to canonical modals and conditionals, the relevant modals and conditionals are</w:t>
      </w:r>
      <w:r w:rsidR="00920655" w:rsidRPr="00CB6FC3">
        <w:rPr>
          <w:rFonts w:ascii="Calibri" w:hAnsi="Calibri" w:cs="Calibri"/>
        </w:rPr>
        <w:t xml:space="preserve"> </w:t>
      </w:r>
      <w:r w:rsidRPr="00CB6FC3">
        <w:rPr>
          <w:rFonts w:ascii="Calibri" w:hAnsi="Calibri" w:cs="Calibri"/>
        </w:rPr>
        <w:t>less frequent</w:t>
      </w:r>
      <w:r w:rsidR="00EF0BDD">
        <w:rPr>
          <w:rFonts w:ascii="Calibri" w:hAnsi="Calibri" w:cs="Calibri"/>
        </w:rPr>
        <w:t xml:space="preserve"> and their new</w:t>
      </w:r>
      <w:r w:rsidR="00896C8B">
        <w:rPr>
          <w:rFonts w:ascii="Calibri" w:hAnsi="Calibri" w:cs="Calibri"/>
        </w:rPr>
        <w:t xml:space="preserve"> conditional/modal uses are short-lived</w:t>
      </w:r>
      <w:r w:rsidRPr="00CB6FC3">
        <w:rPr>
          <w:rFonts w:ascii="Calibri" w:hAnsi="Calibri" w:cs="Calibri"/>
        </w:rPr>
        <w:t>. I hypothesise that the</w:t>
      </w:r>
      <w:r w:rsidR="001943E9" w:rsidRPr="00CB6FC3">
        <w:rPr>
          <w:rFonts w:ascii="Calibri" w:hAnsi="Calibri" w:cs="Calibri"/>
        </w:rPr>
        <w:t xml:space="preserve"> </w:t>
      </w:r>
      <w:r w:rsidR="00843AB9" w:rsidRPr="00CB6FC3">
        <w:rPr>
          <w:rFonts w:ascii="Calibri" w:hAnsi="Calibri" w:cs="Calibri"/>
        </w:rPr>
        <w:t>bidirectional cycles</w:t>
      </w:r>
      <w:r w:rsidRPr="00CB6FC3">
        <w:rPr>
          <w:rFonts w:ascii="Calibri" w:hAnsi="Calibri" w:cs="Calibri"/>
        </w:rPr>
        <w:t xml:space="preserve"> are enabled by low frequencies. </w:t>
      </w:r>
      <w:r w:rsidR="00DB1B8A" w:rsidRPr="00CB6FC3">
        <w:rPr>
          <w:rFonts w:ascii="Calibri" w:hAnsi="Calibri" w:cs="Calibri"/>
        </w:rPr>
        <w:t xml:space="preserve">First, </w:t>
      </w:r>
      <w:r w:rsidR="00350BA3" w:rsidRPr="00CB6FC3">
        <w:rPr>
          <w:rFonts w:ascii="Calibri" w:hAnsi="Calibri" w:cs="Calibri"/>
        </w:rPr>
        <w:t xml:space="preserve">cognitively, </w:t>
      </w:r>
      <w:r w:rsidR="00DB1B8A" w:rsidRPr="00CB6FC3">
        <w:rPr>
          <w:rFonts w:ascii="Calibri" w:hAnsi="Calibri" w:cs="Calibri"/>
        </w:rPr>
        <w:t>l</w:t>
      </w:r>
      <w:r w:rsidRPr="00CB6FC3">
        <w:rPr>
          <w:rFonts w:ascii="Calibri" w:hAnsi="Calibri" w:cs="Calibri"/>
        </w:rPr>
        <w:t xml:space="preserve">ow frequency items tend to </w:t>
      </w:r>
      <w:r w:rsidR="00DB1B8A" w:rsidRPr="00CB6FC3">
        <w:rPr>
          <w:rFonts w:ascii="Calibri" w:hAnsi="Calibri" w:cs="Calibri"/>
        </w:rPr>
        <w:t>have weaker</w:t>
      </w:r>
      <w:r w:rsidR="005C1EAF">
        <w:rPr>
          <w:rFonts w:ascii="Calibri" w:hAnsi="Calibri" w:cs="Calibri"/>
        </w:rPr>
        <w:t>, vaguer</w:t>
      </w:r>
      <w:r w:rsidR="00DB1B8A" w:rsidRPr="00CB6FC3">
        <w:rPr>
          <w:rFonts w:ascii="Calibri" w:hAnsi="Calibri" w:cs="Calibri"/>
        </w:rPr>
        <w:t xml:space="preserve"> mental representations</w:t>
      </w:r>
      <w:r w:rsidRPr="00CB6FC3">
        <w:rPr>
          <w:rFonts w:ascii="Calibri" w:hAnsi="Calibri" w:cs="Calibri"/>
        </w:rPr>
        <w:t>, which</w:t>
      </w:r>
      <w:r w:rsidR="007159A0" w:rsidRPr="00CB6FC3">
        <w:rPr>
          <w:rFonts w:ascii="Calibri" w:hAnsi="Calibri" w:cs="Calibri"/>
        </w:rPr>
        <w:t xml:space="preserve"> </w:t>
      </w:r>
      <w:r w:rsidR="00CB6FC3">
        <w:rPr>
          <w:rFonts w:ascii="Calibri" w:hAnsi="Calibri" w:cs="Calibri"/>
        </w:rPr>
        <w:t>allow</w:t>
      </w:r>
      <w:r w:rsidR="00DB1B8A" w:rsidRPr="00CB6FC3">
        <w:rPr>
          <w:rFonts w:ascii="Calibri" w:hAnsi="Calibri" w:cs="Calibri"/>
        </w:rPr>
        <w:t xml:space="preserve"> them to be recategorised more easily. Second, </w:t>
      </w:r>
      <w:r w:rsidR="00350BA3" w:rsidRPr="00CB6FC3">
        <w:rPr>
          <w:rFonts w:ascii="Calibri" w:hAnsi="Calibri" w:cs="Calibri"/>
        </w:rPr>
        <w:t xml:space="preserve">pragmatically, </w:t>
      </w:r>
      <w:r w:rsidR="007159A0" w:rsidRPr="00CB6FC3">
        <w:rPr>
          <w:rFonts w:ascii="Calibri" w:hAnsi="Calibri" w:cs="Calibri"/>
        </w:rPr>
        <w:t xml:space="preserve">as </w:t>
      </w:r>
      <w:r w:rsidR="00DB1B8A" w:rsidRPr="00CB6FC3">
        <w:rPr>
          <w:rFonts w:ascii="Calibri" w:hAnsi="Calibri" w:cs="Calibri"/>
        </w:rPr>
        <w:t>the construction</w:t>
      </w:r>
      <w:r w:rsidR="00843AB9" w:rsidRPr="00CB6FC3">
        <w:rPr>
          <w:rFonts w:ascii="Calibri" w:hAnsi="Calibri" w:cs="Calibri"/>
        </w:rPr>
        <w:t>s are</w:t>
      </w:r>
      <w:r w:rsidR="00DB1B8A" w:rsidRPr="00CB6FC3">
        <w:rPr>
          <w:rFonts w:ascii="Calibri" w:hAnsi="Calibri" w:cs="Calibri"/>
        </w:rPr>
        <w:t xml:space="preserve"> indirect speech act</w:t>
      </w:r>
      <w:r w:rsidR="00843AB9" w:rsidRPr="00CB6FC3">
        <w:rPr>
          <w:rFonts w:ascii="Calibri" w:hAnsi="Calibri" w:cs="Calibri"/>
        </w:rPr>
        <w:t>s</w:t>
      </w:r>
      <w:r w:rsidR="007159A0" w:rsidRPr="00CB6FC3">
        <w:rPr>
          <w:rFonts w:ascii="Calibri" w:hAnsi="Calibri" w:cs="Calibri"/>
        </w:rPr>
        <w:t xml:space="preserve">, </w:t>
      </w:r>
      <w:r w:rsidR="00DB1B8A" w:rsidRPr="00CB6FC3">
        <w:rPr>
          <w:rFonts w:ascii="Calibri" w:hAnsi="Calibri" w:cs="Calibri"/>
        </w:rPr>
        <w:t xml:space="preserve">newer modal/conditional items </w:t>
      </w:r>
      <w:r w:rsidR="00843AB9" w:rsidRPr="00CB6FC3">
        <w:rPr>
          <w:rFonts w:ascii="Calibri" w:hAnsi="Calibri" w:cs="Calibri"/>
        </w:rPr>
        <w:t>are used in them</w:t>
      </w:r>
      <w:r w:rsidR="00DB1B8A" w:rsidRPr="00CB6FC3">
        <w:rPr>
          <w:rFonts w:ascii="Calibri" w:hAnsi="Calibri" w:cs="Calibri"/>
        </w:rPr>
        <w:t xml:space="preserve"> presumably because they are perceived to be less direct than older ones</w:t>
      </w:r>
      <w:r w:rsidR="001A5609">
        <w:rPr>
          <w:rFonts w:ascii="Calibri" w:hAnsi="Calibri" w:cs="Calibri"/>
        </w:rPr>
        <w:t xml:space="preserve"> (</w:t>
      </w:r>
      <w:r w:rsidR="00247F26">
        <w:rPr>
          <w:rFonts w:ascii="Calibri" w:hAnsi="Calibri" w:cs="Calibri"/>
        </w:rPr>
        <w:t>see Mauri &amp; Sansò 2011 for the tendency ‘indirect act’ &gt; ‘direct act’)</w:t>
      </w:r>
      <w:r w:rsidR="00DB1B8A" w:rsidRPr="00CB6FC3">
        <w:rPr>
          <w:rFonts w:ascii="Calibri" w:hAnsi="Calibri" w:cs="Calibri"/>
        </w:rPr>
        <w:t>. A preference for</w:t>
      </w:r>
      <w:r w:rsidR="00920655" w:rsidRPr="00CB6FC3">
        <w:rPr>
          <w:rFonts w:ascii="Calibri" w:hAnsi="Calibri" w:cs="Calibri"/>
        </w:rPr>
        <w:t xml:space="preserve"> </w:t>
      </w:r>
      <w:r w:rsidR="00CB6FC3">
        <w:rPr>
          <w:rFonts w:ascii="Calibri" w:hAnsi="Calibri" w:cs="Calibri"/>
        </w:rPr>
        <w:t xml:space="preserve">newer </w:t>
      </w:r>
      <w:r w:rsidR="00DB1B8A" w:rsidRPr="00CB6FC3">
        <w:rPr>
          <w:rFonts w:ascii="Calibri" w:hAnsi="Calibri" w:cs="Calibri"/>
        </w:rPr>
        <w:t>items in the construction</w:t>
      </w:r>
      <w:r w:rsidR="00843AB9" w:rsidRPr="00CB6FC3">
        <w:rPr>
          <w:rFonts w:ascii="Calibri" w:hAnsi="Calibri" w:cs="Calibri"/>
        </w:rPr>
        <w:t xml:space="preserve">s may </w:t>
      </w:r>
      <w:r w:rsidR="00DB1B8A" w:rsidRPr="00CB6FC3">
        <w:rPr>
          <w:rFonts w:ascii="Calibri" w:hAnsi="Calibri" w:cs="Calibri"/>
        </w:rPr>
        <w:t>follow from a preference for indirectness</w:t>
      </w:r>
      <w:r w:rsidR="00920655" w:rsidRPr="00CB6FC3">
        <w:rPr>
          <w:rFonts w:ascii="Calibri" w:hAnsi="Calibri" w:cs="Calibri"/>
        </w:rPr>
        <w:t xml:space="preserve">, which at the same time might prevent an item from </w:t>
      </w:r>
      <w:r w:rsidR="00843AB9" w:rsidRPr="00CB6FC3">
        <w:rPr>
          <w:rFonts w:ascii="Calibri" w:hAnsi="Calibri" w:cs="Calibri"/>
        </w:rPr>
        <w:t xml:space="preserve">becoming </w:t>
      </w:r>
      <w:r w:rsidR="00920655" w:rsidRPr="00CB6FC3">
        <w:rPr>
          <w:rFonts w:ascii="Calibri" w:hAnsi="Calibri" w:cs="Calibri"/>
        </w:rPr>
        <w:t xml:space="preserve">more </w:t>
      </w:r>
      <w:r w:rsidR="008C0E0D">
        <w:rPr>
          <w:rFonts w:ascii="Calibri" w:hAnsi="Calibri" w:cs="Calibri"/>
        </w:rPr>
        <w:t xml:space="preserve">entrenched or </w:t>
      </w:r>
      <w:r w:rsidR="00920655" w:rsidRPr="00CB6FC3">
        <w:rPr>
          <w:rFonts w:ascii="Calibri" w:hAnsi="Calibri" w:cs="Calibri"/>
        </w:rPr>
        <w:t>prototypical</w:t>
      </w:r>
      <w:r w:rsidR="00CB6FC3">
        <w:rPr>
          <w:rFonts w:ascii="Calibri" w:hAnsi="Calibri" w:cs="Calibri"/>
        </w:rPr>
        <w:t>.</w:t>
      </w:r>
    </w:p>
    <w:p w14:paraId="6EFF94BC" w14:textId="13EF86AA" w:rsidR="00C26555" w:rsidRDefault="00C26555" w:rsidP="00C2655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B1B8A" w:rsidRPr="00CB6FC3">
        <w:rPr>
          <w:rFonts w:ascii="Calibri" w:hAnsi="Calibri" w:cs="Calibri"/>
        </w:rPr>
        <w:t xml:space="preserve">The </w:t>
      </w:r>
      <w:r w:rsidR="000414C1" w:rsidRPr="00CB6FC3">
        <w:rPr>
          <w:rFonts w:ascii="Calibri" w:hAnsi="Calibri" w:cs="Calibri"/>
        </w:rPr>
        <w:t xml:space="preserve">findings of the </w:t>
      </w:r>
      <w:r w:rsidR="00DB1B8A" w:rsidRPr="00CB6FC3">
        <w:rPr>
          <w:rFonts w:ascii="Calibri" w:hAnsi="Calibri" w:cs="Calibri"/>
        </w:rPr>
        <w:t xml:space="preserve">paper </w:t>
      </w:r>
      <w:r w:rsidR="00920655" w:rsidRPr="00CB6FC3">
        <w:rPr>
          <w:rFonts w:ascii="Calibri" w:hAnsi="Calibri" w:cs="Calibri"/>
        </w:rPr>
        <w:t xml:space="preserve">generally </w:t>
      </w:r>
      <w:r w:rsidR="000414C1" w:rsidRPr="00CB6FC3">
        <w:rPr>
          <w:rFonts w:ascii="Calibri" w:hAnsi="Calibri" w:cs="Calibri"/>
        </w:rPr>
        <w:t>support</w:t>
      </w:r>
      <w:r w:rsidR="00DB1B8A" w:rsidRPr="00CB6FC3">
        <w:rPr>
          <w:rFonts w:ascii="Calibri" w:hAnsi="Calibri" w:cs="Calibri"/>
        </w:rPr>
        <w:t xml:space="preserve"> Detges</w:t>
      </w:r>
      <w:r w:rsidR="000414C1" w:rsidRPr="00CB6FC3">
        <w:rPr>
          <w:rFonts w:ascii="Calibri" w:hAnsi="Calibri" w:cs="Calibri"/>
        </w:rPr>
        <w:t>’</w:t>
      </w:r>
      <w:r w:rsidR="00DB1B8A" w:rsidRPr="00CB6FC3">
        <w:rPr>
          <w:rFonts w:ascii="Calibri" w:hAnsi="Calibri" w:cs="Calibri"/>
        </w:rPr>
        <w:t xml:space="preserve"> (2020) model</w:t>
      </w:r>
      <w:r w:rsidR="00587E8B" w:rsidRPr="00CB6FC3">
        <w:rPr>
          <w:rFonts w:ascii="Calibri" w:hAnsi="Calibri" w:cs="Calibri"/>
        </w:rPr>
        <w:t xml:space="preserve">. First, </w:t>
      </w:r>
      <w:r w:rsidR="00AA35FC" w:rsidRPr="00CB6FC3">
        <w:rPr>
          <w:rFonts w:ascii="Calibri" w:hAnsi="Calibri" w:cs="Calibri"/>
        </w:rPr>
        <w:t>cyclic change tends to involve</w:t>
      </w:r>
      <w:r w:rsidR="00587E8B" w:rsidRPr="00CB6FC3">
        <w:rPr>
          <w:rFonts w:ascii="Calibri" w:hAnsi="Calibri" w:cs="Calibri"/>
        </w:rPr>
        <w:t xml:space="preserve"> satellites (i.e. non-prototypical members)</w:t>
      </w:r>
      <w:r w:rsidR="00350BA3" w:rsidRPr="00CB6FC3">
        <w:rPr>
          <w:rFonts w:ascii="Calibri" w:hAnsi="Calibri" w:cs="Calibri"/>
        </w:rPr>
        <w:t>.</w:t>
      </w:r>
      <w:r w:rsidR="00DB1B8A" w:rsidRPr="00CB6FC3">
        <w:rPr>
          <w:rFonts w:ascii="Calibri" w:hAnsi="Calibri" w:cs="Calibri"/>
          <w:i/>
          <w:iCs/>
        </w:rPr>
        <w:t xml:space="preserve"> </w:t>
      </w:r>
      <w:r w:rsidR="00587E8B" w:rsidRPr="00CB6FC3">
        <w:rPr>
          <w:rFonts w:ascii="Calibri" w:hAnsi="Calibri" w:cs="Calibri"/>
        </w:rPr>
        <w:t xml:space="preserve">Second, </w:t>
      </w:r>
      <w:r w:rsidR="00EF0BDD">
        <w:rPr>
          <w:rFonts w:ascii="Calibri" w:hAnsi="Calibri" w:cs="Calibri"/>
        </w:rPr>
        <w:t xml:space="preserve">it is motivated </w:t>
      </w:r>
      <w:r w:rsidR="00587E8B" w:rsidRPr="00CB6FC3">
        <w:rPr>
          <w:rFonts w:ascii="Calibri" w:hAnsi="Calibri" w:cs="Calibri"/>
        </w:rPr>
        <w:t>by rhetorical uses. However, where</w:t>
      </w:r>
      <w:r w:rsidR="0026184C" w:rsidRPr="00CB6FC3">
        <w:rPr>
          <w:rFonts w:ascii="Calibri" w:hAnsi="Calibri" w:cs="Calibri"/>
        </w:rPr>
        <w:t>as</w:t>
      </w:r>
      <w:r w:rsidR="00587E8B" w:rsidRPr="00CB6FC3">
        <w:rPr>
          <w:rFonts w:ascii="Calibri" w:hAnsi="Calibri" w:cs="Calibri"/>
        </w:rPr>
        <w:t xml:space="preserve"> Detge</w:t>
      </w:r>
      <w:r w:rsidR="0026184C" w:rsidRPr="00CB6FC3">
        <w:rPr>
          <w:rFonts w:ascii="Calibri" w:hAnsi="Calibri" w:cs="Calibri"/>
        </w:rPr>
        <w:t>s</w:t>
      </w:r>
      <w:r w:rsidR="000414C1" w:rsidRPr="00CB6FC3">
        <w:rPr>
          <w:rFonts w:ascii="Calibri" w:hAnsi="Calibri" w:cs="Calibri"/>
        </w:rPr>
        <w:t xml:space="preserve"> does not view the existing grammatical system as a potential</w:t>
      </w:r>
      <w:r w:rsidR="00083EFD" w:rsidRPr="00CB6FC3">
        <w:rPr>
          <w:rFonts w:ascii="Calibri" w:hAnsi="Calibri" w:cs="Calibri"/>
        </w:rPr>
        <w:t>ly strong</w:t>
      </w:r>
      <w:r w:rsidR="000414C1" w:rsidRPr="00CB6FC3">
        <w:rPr>
          <w:rFonts w:ascii="Calibri" w:hAnsi="Calibri" w:cs="Calibri"/>
        </w:rPr>
        <w:t xml:space="preserve"> influence on cyclic change, the fact that</w:t>
      </w:r>
      <w:r w:rsidR="00920655" w:rsidRPr="00CB6FC3">
        <w:rPr>
          <w:rFonts w:ascii="Calibri" w:hAnsi="Calibri" w:cs="Calibri"/>
        </w:rPr>
        <w:t xml:space="preserve"> morphosyntactic vagueness between modals and conditionals is a systemic</w:t>
      </w:r>
      <w:r w:rsidR="007C5F0E">
        <w:rPr>
          <w:rFonts w:ascii="Calibri" w:hAnsi="Calibri" w:cs="Calibri"/>
        </w:rPr>
        <w:t xml:space="preserve"> and panchronic</w:t>
      </w:r>
      <w:r w:rsidR="00920655" w:rsidRPr="00CB6FC3">
        <w:rPr>
          <w:rFonts w:ascii="Calibri" w:hAnsi="Calibri" w:cs="Calibri"/>
        </w:rPr>
        <w:t xml:space="preserve"> phenomenon in Chinese (Kuo 2021)</w:t>
      </w:r>
      <w:r w:rsidR="00B16CAF" w:rsidRPr="00CB6FC3">
        <w:rPr>
          <w:rFonts w:ascii="Calibri" w:hAnsi="Calibri" w:cs="Calibri"/>
        </w:rPr>
        <w:t xml:space="preserve">, but not observed elsewhere, </w:t>
      </w:r>
      <w:r w:rsidR="00920655" w:rsidRPr="00CB6FC3">
        <w:rPr>
          <w:rFonts w:ascii="Calibri" w:hAnsi="Calibri" w:cs="Calibri"/>
        </w:rPr>
        <w:t>suggests that the grammatical system should not be overlooked.</w:t>
      </w:r>
      <w:r w:rsidR="00083EFD" w:rsidRPr="00CB6FC3">
        <w:rPr>
          <w:rFonts w:ascii="Calibri" w:hAnsi="Calibri" w:cs="Calibri"/>
        </w:rPr>
        <w:t xml:space="preserve"> Finally, while Detges</w:t>
      </w:r>
      <w:r w:rsidR="007C5F0E">
        <w:rPr>
          <w:rFonts w:ascii="Calibri" w:hAnsi="Calibri" w:cs="Calibri"/>
        </w:rPr>
        <w:t xml:space="preserve"> and many others have</w:t>
      </w:r>
      <w:r w:rsidR="00083EFD" w:rsidRPr="00CB6FC3">
        <w:rPr>
          <w:rFonts w:ascii="Calibri" w:hAnsi="Calibri" w:cs="Calibri"/>
        </w:rPr>
        <w:t xml:space="preserve"> emphasised the role of ‘overuse’ in (cyclical) change, this paper </w:t>
      </w:r>
      <w:r w:rsidR="00843AB9" w:rsidRPr="00CB6FC3">
        <w:rPr>
          <w:rFonts w:ascii="Calibri" w:hAnsi="Calibri" w:cs="Calibri"/>
        </w:rPr>
        <w:t>highlights</w:t>
      </w:r>
      <w:r w:rsidR="00083EFD" w:rsidRPr="00CB6FC3">
        <w:rPr>
          <w:rFonts w:ascii="Calibri" w:hAnsi="Calibri" w:cs="Calibri"/>
        </w:rPr>
        <w:t xml:space="preserve"> that ‘underuse’, associated with indirectness, may be a factor</w:t>
      </w:r>
      <w:r w:rsidR="00843AB9" w:rsidRPr="00CB6FC3">
        <w:rPr>
          <w:rFonts w:ascii="Calibri" w:hAnsi="Calibri" w:cs="Calibri"/>
        </w:rPr>
        <w:t xml:space="preserve">: </w:t>
      </w:r>
      <w:r w:rsidR="00083EFD" w:rsidRPr="00CB6FC3">
        <w:rPr>
          <w:rFonts w:ascii="Calibri" w:hAnsi="Calibri" w:cs="Calibri"/>
        </w:rPr>
        <w:t>a</w:t>
      </w:r>
      <w:r w:rsidR="00843AB9" w:rsidRPr="00CB6FC3">
        <w:rPr>
          <w:rFonts w:ascii="Calibri" w:hAnsi="Calibri" w:cs="Calibri"/>
        </w:rPr>
        <w:t xml:space="preserve"> </w:t>
      </w:r>
      <w:r w:rsidR="00083EFD" w:rsidRPr="00CB6FC3">
        <w:rPr>
          <w:rFonts w:ascii="Calibri" w:hAnsi="Calibri" w:cs="Calibri"/>
        </w:rPr>
        <w:t xml:space="preserve">preference for underused items might drive short-lived </w:t>
      </w:r>
      <w:r w:rsidR="008C0E0D">
        <w:rPr>
          <w:rFonts w:ascii="Calibri" w:hAnsi="Calibri" w:cs="Calibri"/>
        </w:rPr>
        <w:t>cyclic</w:t>
      </w:r>
      <w:r w:rsidR="00083EFD" w:rsidRPr="00CB6FC3">
        <w:rPr>
          <w:rFonts w:ascii="Calibri" w:hAnsi="Calibri" w:cs="Calibri"/>
        </w:rPr>
        <w:t xml:space="preserve"> change</w:t>
      </w:r>
      <w:r w:rsidR="008C0E0D">
        <w:rPr>
          <w:rFonts w:ascii="Calibri" w:hAnsi="Calibri" w:cs="Calibri"/>
        </w:rPr>
        <w:t>s</w:t>
      </w:r>
      <w:r w:rsidR="00083EFD" w:rsidRPr="00CB6FC3">
        <w:rPr>
          <w:rFonts w:ascii="Calibri" w:hAnsi="Calibri" w:cs="Calibri"/>
        </w:rPr>
        <w:t>.</w:t>
      </w:r>
    </w:p>
    <w:p w14:paraId="5A227C3F" w14:textId="77777777" w:rsidR="00EF0BDD" w:rsidRDefault="00EF0BDD" w:rsidP="00C26555">
      <w:pPr>
        <w:rPr>
          <w:rFonts w:ascii="Calibri" w:hAnsi="Calibri" w:cs="Calibri"/>
          <w:b/>
        </w:rPr>
      </w:pPr>
    </w:p>
    <w:p w14:paraId="5DF9F298" w14:textId="58DCACA0" w:rsidR="00C26555" w:rsidRPr="00C26555" w:rsidRDefault="00C26555" w:rsidP="00C26555">
      <w:pPr>
        <w:rPr>
          <w:rFonts w:ascii="Calibri" w:hAnsi="Calibri" w:cs="Calibri"/>
          <w:b/>
        </w:rPr>
      </w:pPr>
      <w:r w:rsidRPr="00C26555">
        <w:rPr>
          <w:rFonts w:ascii="Calibri" w:hAnsi="Calibri" w:cs="Calibri"/>
          <w:b/>
        </w:rPr>
        <w:t>References</w:t>
      </w:r>
    </w:p>
    <w:p w14:paraId="45753E6A" w14:textId="531204A0" w:rsidR="00843AB9" w:rsidRDefault="00CB6FC3" w:rsidP="00EF0BDD">
      <w:pPr>
        <w:rPr>
          <w:rFonts w:ascii="Calibri" w:hAnsi="Calibri" w:cs="Calibri"/>
        </w:rPr>
      </w:pPr>
      <w:r w:rsidRPr="00CB6FC3">
        <w:rPr>
          <w:rFonts w:ascii="Calibri" w:hAnsi="Calibri" w:cs="Calibri"/>
        </w:rPr>
        <w:t xml:space="preserve">Detges, Ulrich. 2020. </w:t>
      </w:r>
      <w:r w:rsidR="00843AB9" w:rsidRPr="00CB6FC3">
        <w:rPr>
          <w:rFonts w:ascii="Calibri" w:hAnsi="Calibri" w:cs="Calibri"/>
        </w:rPr>
        <w:t>Future markers in Western Ro</w:t>
      </w:r>
      <w:r w:rsidR="00EF0BDD">
        <w:rPr>
          <w:rFonts w:ascii="Calibri" w:hAnsi="Calibri" w:cs="Calibri"/>
        </w:rPr>
        <w:t xml:space="preserve">mance Cyclic change, synchronic </w:t>
      </w:r>
      <w:r w:rsidR="00EF0BDD">
        <w:rPr>
          <w:rFonts w:ascii="Calibri" w:hAnsi="Calibri" w:cs="Calibri"/>
        </w:rPr>
        <w:tab/>
      </w:r>
      <w:r w:rsidR="00843AB9" w:rsidRPr="00CB6FC3">
        <w:rPr>
          <w:rFonts w:ascii="Calibri" w:hAnsi="Calibri" w:cs="Calibri"/>
        </w:rPr>
        <w:t>variation and diachronic competition</w:t>
      </w:r>
      <w:r w:rsidRPr="00CB6FC3">
        <w:rPr>
          <w:rFonts w:ascii="Calibri" w:hAnsi="Calibri" w:cs="Calibri"/>
        </w:rPr>
        <w:t xml:space="preserve">. </w:t>
      </w:r>
      <w:r w:rsidRPr="00CB6FC3">
        <w:rPr>
          <w:rFonts w:ascii="Calibri" w:hAnsi="Calibri" w:cs="Calibri"/>
          <w:i/>
          <w:iCs/>
        </w:rPr>
        <w:t>Journal of Historical Pragmatics</w:t>
      </w:r>
      <w:r w:rsidRPr="00CB6FC3">
        <w:rPr>
          <w:rFonts w:ascii="Calibri" w:hAnsi="Calibri" w:cs="Calibri"/>
        </w:rPr>
        <w:t xml:space="preserve"> 21(2), 289–</w:t>
      </w:r>
      <w:r w:rsidR="00EF0BDD">
        <w:rPr>
          <w:rFonts w:ascii="Calibri" w:hAnsi="Calibri" w:cs="Calibri"/>
        </w:rPr>
        <w:tab/>
      </w:r>
      <w:r w:rsidRPr="00CB6FC3">
        <w:rPr>
          <w:rFonts w:ascii="Calibri" w:hAnsi="Calibri" w:cs="Calibri"/>
        </w:rPr>
        <w:t>314.</w:t>
      </w:r>
    </w:p>
    <w:p w14:paraId="7BC747F3" w14:textId="50EC4E1E" w:rsidR="00843AB9" w:rsidRPr="00EF0BDD" w:rsidRDefault="00843AB9" w:rsidP="00EF0BDD">
      <w:pPr>
        <w:rPr>
          <w:rFonts w:ascii="Calibri" w:hAnsi="Calibri" w:cs="Calibri"/>
          <w:i/>
          <w:iCs/>
        </w:rPr>
      </w:pPr>
      <w:r w:rsidRPr="00CB6FC3">
        <w:rPr>
          <w:rFonts w:ascii="Calibri" w:hAnsi="Calibri" w:cs="Calibri"/>
        </w:rPr>
        <w:t xml:space="preserve">Kuo, Yueh Hsin. 2021. Morphosyntactic vagueness and directionality. </w:t>
      </w:r>
      <w:r w:rsidR="00EF0BDD">
        <w:rPr>
          <w:rFonts w:ascii="Calibri" w:hAnsi="Calibri" w:cs="Calibri"/>
          <w:i/>
          <w:iCs/>
        </w:rPr>
        <w:t xml:space="preserve">The Yearbook of the </w:t>
      </w:r>
      <w:r w:rsidR="00EF0BDD">
        <w:rPr>
          <w:rFonts w:ascii="Calibri" w:hAnsi="Calibri" w:cs="Calibri"/>
          <w:i/>
          <w:iCs/>
        </w:rPr>
        <w:tab/>
      </w:r>
      <w:r w:rsidRPr="00CB6FC3">
        <w:rPr>
          <w:rFonts w:ascii="Calibri" w:hAnsi="Calibri" w:cs="Calibri"/>
          <w:i/>
          <w:iCs/>
        </w:rPr>
        <w:t xml:space="preserve">German Cognitive Linguistics Association </w:t>
      </w:r>
      <w:r w:rsidRPr="00CB6FC3">
        <w:rPr>
          <w:rFonts w:ascii="Calibri" w:hAnsi="Calibri" w:cs="Calibri"/>
        </w:rPr>
        <w:t>9(1), 95–116.</w:t>
      </w:r>
    </w:p>
    <w:p w14:paraId="1BEA5F5E" w14:textId="1360871D" w:rsidR="00843AB9" w:rsidRPr="00CB6FC3" w:rsidRDefault="00843AB9" w:rsidP="00EF0BDD">
      <w:pPr>
        <w:rPr>
          <w:rFonts w:ascii="Calibri" w:hAnsi="Calibri" w:cs="Calibri"/>
        </w:rPr>
      </w:pPr>
      <w:r w:rsidRPr="00CB6FC3">
        <w:rPr>
          <w:rFonts w:ascii="Calibri" w:hAnsi="Calibri" w:cs="Calibri"/>
        </w:rPr>
        <w:t>Kuo, Yueh Hsin. 2022. Bidirectionality between modality and conditionality in Chinese: A</w:t>
      </w:r>
      <w:r w:rsidR="00EF0BDD">
        <w:rPr>
          <w:rFonts w:ascii="Calibri" w:hAnsi="Calibri" w:cs="Calibri"/>
        </w:rPr>
        <w:t xml:space="preserve"> </w:t>
      </w:r>
      <w:r w:rsidR="00EF0BDD">
        <w:rPr>
          <w:rFonts w:ascii="Calibri" w:hAnsi="Calibri" w:cs="Calibri"/>
        </w:rPr>
        <w:tab/>
      </w:r>
      <w:r w:rsidRPr="00CB6FC3">
        <w:rPr>
          <w:rFonts w:ascii="Calibri" w:hAnsi="Calibri" w:cs="Calibri"/>
        </w:rPr>
        <w:t xml:space="preserve">constructionalization account. </w:t>
      </w:r>
      <w:r w:rsidRPr="00CB6FC3">
        <w:rPr>
          <w:rFonts w:ascii="Calibri" w:hAnsi="Calibri" w:cs="Calibri"/>
          <w:i/>
          <w:iCs/>
        </w:rPr>
        <w:t>Diachronica</w:t>
      </w:r>
      <w:r w:rsidRPr="00CB6FC3">
        <w:rPr>
          <w:rFonts w:ascii="Calibri" w:hAnsi="Calibri" w:cs="Calibri"/>
        </w:rPr>
        <w:t xml:space="preserve"> 39(1), 88–127. </w:t>
      </w:r>
    </w:p>
    <w:p w14:paraId="780564A9" w14:textId="091CBA7D" w:rsidR="00EF0BDD" w:rsidRDefault="00843AB9" w:rsidP="00EF0BDD">
      <w:pPr>
        <w:rPr>
          <w:rFonts w:ascii="Calibri" w:hAnsi="Calibri" w:cs="Calibri"/>
        </w:rPr>
      </w:pPr>
      <w:r w:rsidRPr="00CB6FC3">
        <w:rPr>
          <w:rFonts w:ascii="Calibri" w:hAnsi="Calibri" w:cs="Calibri"/>
        </w:rPr>
        <w:t>Kuo, Yueh Hsin. 2024. Bidirectional grammaticalizat</w:t>
      </w:r>
      <w:r w:rsidR="00EF0BDD">
        <w:rPr>
          <w:rFonts w:ascii="Calibri" w:hAnsi="Calibri" w:cs="Calibri"/>
        </w:rPr>
        <w:t xml:space="preserve">ion: Chinese modal and protasis </w:t>
      </w:r>
      <w:r w:rsidR="00EF0BDD">
        <w:rPr>
          <w:rFonts w:ascii="Calibri" w:hAnsi="Calibri" w:cs="Calibri"/>
        </w:rPr>
        <w:tab/>
      </w:r>
      <w:r w:rsidRPr="00CB6FC3">
        <w:rPr>
          <w:rFonts w:ascii="Calibri" w:hAnsi="Calibri" w:cs="Calibri"/>
        </w:rPr>
        <w:t xml:space="preserve">connective. </w:t>
      </w:r>
      <w:r w:rsidRPr="00CB6FC3">
        <w:rPr>
          <w:rFonts w:ascii="Calibri" w:hAnsi="Calibri" w:cs="Calibri"/>
          <w:i/>
          <w:iCs/>
        </w:rPr>
        <w:t>Journal of Linguistics</w:t>
      </w:r>
      <w:r w:rsidRPr="00CB6FC3">
        <w:rPr>
          <w:rFonts w:ascii="Calibri" w:hAnsi="Calibri" w:cs="Calibri"/>
        </w:rPr>
        <w:t xml:space="preserve"> 60. </w:t>
      </w:r>
    </w:p>
    <w:p w14:paraId="46DFD7D2" w14:textId="1C40672D" w:rsidR="008310E7" w:rsidRPr="008A17B8" w:rsidRDefault="00EF0B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Mauri, Caterina &amp; Andrea Sansò. 2011. How directive constructions emerge: </w:t>
      </w:r>
      <w:r>
        <w:rPr>
          <w:rFonts w:ascii="Calibri" w:hAnsi="Calibri" w:cs="Calibri"/>
        </w:rPr>
        <w:tab/>
        <w:t xml:space="preserve">grammaticalization, constructionalization, cooptation. </w:t>
      </w:r>
      <w:r>
        <w:rPr>
          <w:rFonts w:ascii="Calibri" w:hAnsi="Calibri" w:cs="Calibri"/>
          <w:i/>
        </w:rPr>
        <w:t>Journal of Pragmatics</w:t>
      </w:r>
      <w:r>
        <w:rPr>
          <w:rFonts w:ascii="Calibri" w:hAnsi="Calibri" w:cs="Calibri"/>
        </w:rPr>
        <w:t xml:space="preserve"> 43, </w:t>
      </w:r>
      <w:r>
        <w:rPr>
          <w:rFonts w:ascii="Calibri" w:hAnsi="Calibri" w:cs="Calibri"/>
        </w:rPr>
        <w:tab/>
      </w:r>
      <w:r w:rsidRPr="00EF0BDD">
        <w:rPr>
          <w:rFonts w:ascii="Calibri" w:hAnsi="Calibri" w:cs="Calibri"/>
        </w:rPr>
        <w:t>3489–3521</w:t>
      </w:r>
      <w:r>
        <w:rPr>
          <w:rFonts w:ascii="Calibri" w:hAnsi="Calibri" w:cs="Calibri"/>
        </w:rPr>
        <w:t>.</w:t>
      </w:r>
    </w:p>
    <w:sectPr w:rsidR="008310E7" w:rsidRPr="008A17B8" w:rsidSect="00741FD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95"/>
    <w:rsid w:val="00000428"/>
    <w:rsid w:val="00000999"/>
    <w:rsid w:val="0001525F"/>
    <w:rsid w:val="00021E94"/>
    <w:rsid w:val="000414C1"/>
    <w:rsid w:val="000541EC"/>
    <w:rsid w:val="000737C4"/>
    <w:rsid w:val="00080B0C"/>
    <w:rsid w:val="00083EFD"/>
    <w:rsid w:val="000A3DD0"/>
    <w:rsid w:val="000B3E90"/>
    <w:rsid w:val="000D0E25"/>
    <w:rsid w:val="000E4B82"/>
    <w:rsid w:val="000F533F"/>
    <w:rsid w:val="00102BFE"/>
    <w:rsid w:val="0010364F"/>
    <w:rsid w:val="00114C6C"/>
    <w:rsid w:val="00116921"/>
    <w:rsid w:val="00122B50"/>
    <w:rsid w:val="0014055D"/>
    <w:rsid w:val="0014455E"/>
    <w:rsid w:val="00154E0B"/>
    <w:rsid w:val="00155667"/>
    <w:rsid w:val="00155B2D"/>
    <w:rsid w:val="00164C47"/>
    <w:rsid w:val="0017149B"/>
    <w:rsid w:val="001760B1"/>
    <w:rsid w:val="001943E9"/>
    <w:rsid w:val="001A00E7"/>
    <w:rsid w:val="001A02B3"/>
    <w:rsid w:val="001A5609"/>
    <w:rsid w:val="001B0E9B"/>
    <w:rsid w:val="001C6C54"/>
    <w:rsid w:val="001D7C9D"/>
    <w:rsid w:val="001E7684"/>
    <w:rsid w:val="0020725C"/>
    <w:rsid w:val="00213E15"/>
    <w:rsid w:val="00217030"/>
    <w:rsid w:val="00224E9E"/>
    <w:rsid w:val="00225E44"/>
    <w:rsid w:val="00227DEE"/>
    <w:rsid w:val="002374CF"/>
    <w:rsid w:val="00242CCD"/>
    <w:rsid w:val="00247F26"/>
    <w:rsid w:val="00251C5C"/>
    <w:rsid w:val="00254EE8"/>
    <w:rsid w:val="0026184C"/>
    <w:rsid w:val="002622FA"/>
    <w:rsid w:val="00263A41"/>
    <w:rsid w:val="00270E17"/>
    <w:rsid w:val="0028679B"/>
    <w:rsid w:val="002952CF"/>
    <w:rsid w:val="002954FC"/>
    <w:rsid w:val="002966B2"/>
    <w:rsid w:val="002E6DE9"/>
    <w:rsid w:val="002F1E1D"/>
    <w:rsid w:val="002F2BD4"/>
    <w:rsid w:val="002F4B8A"/>
    <w:rsid w:val="00300EDA"/>
    <w:rsid w:val="00311632"/>
    <w:rsid w:val="00314ECB"/>
    <w:rsid w:val="00317556"/>
    <w:rsid w:val="00323F69"/>
    <w:rsid w:val="003313B4"/>
    <w:rsid w:val="003357C9"/>
    <w:rsid w:val="0033606A"/>
    <w:rsid w:val="003441CD"/>
    <w:rsid w:val="00350BA3"/>
    <w:rsid w:val="00361977"/>
    <w:rsid w:val="003814CA"/>
    <w:rsid w:val="003B57E1"/>
    <w:rsid w:val="003C289A"/>
    <w:rsid w:val="003E2CF1"/>
    <w:rsid w:val="003E750D"/>
    <w:rsid w:val="003F7D60"/>
    <w:rsid w:val="004051E4"/>
    <w:rsid w:val="004066DB"/>
    <w:rsid w:val="00412F1D"/>
    <w:rsid w:val="0041488A"/>
    <w:rsid w:val="004168C6"/>
    <w:rsid w:val="004250BA"/>
    <w:rsid w:val="00426893"/>
    <w:rsid w:val="0043745A"/>
    <w:rsid w:val="0045174C"/>
    <w:rsid w:val="00452F7E"/>
    <w:rsid w:val="0045561B"/>
    <w:rsid w:val="0046083D"/>
    <w:rsid w:val="004658A6"/>
    <w:rsid w:val="00476405"/>
    <w:rsid w:val="00477FCF"/>
    <w:rsid w:val="0049144A"/>
    <w:rsid w:val="00491A71"/>
    <w:rsid w:val="004A653E"/>
    <w:rsid w:val="004B1006"/>
    <w:rsid w:val="004B19D0"/>
    <w:rsid w:val="004C0A59"/>
    <w:rsid w:val="004C3B78"/>
    <w:rsid w:val="004C7CAC"/>
    <w:rsid w:val="004D477B"/>
    <w:rsid w:val="004E6519"/>
    <w:rsid w:val="004F0D49"/>
    <w:rsid w:val="00500E62"/>
    <w:rsid w:val="00512641"/>
    <w:rsid w:val="00520D37"/>
    <w:rsid w:val="00535030"/>
    <w:rsid w:val="00551F7F"/>
    <w:rsid w:val="00556F5F"/>
    <w:rsid w:val="00566928"/>
    <w:rsid w:val="00574C75"/>
    <w:rsid w:val="00587E8B"/>
    <w:rsid w:val="00591477"/>
    <w:rsid w:val="005A192C"/>
    <w:rsid w:val="005A5C5E"/>
    <w:rsid w:val="005A737D"/>
    <w:rsid w:val="005B1D72"/>
    <w:rsid w:val="005B2F7B"/>
    <w:rsid w:val="005C1EAF"/>
    <w:rsid w:val="005D3513"/>
    <w:rsid w:val="0061509B"/>
    <w:rsid w:val="0063603F"/>
    <w:rsid w:val="006643C7"/>
    <w:rsid w:val="0067015A"/>
    <w:rsid w:val="0068439D"/>
    <w:rsid w:val="00685869"/>
    <w:rsid w:val="006B428C"/>
    <w:rsid w:val="006B7923"/>
    <w:rsid w:val="006D0516"/>
    <w:rsid w:val="006D2D06"/>
    <w:rsid w:val="006D3F7F"/>
    <w:rsid w:val="006F3C9B"/>
    <w:rsid w:val="00700249"/>
    <w:rsid w:val="007021A0"/>
    <w:rsid w:val="00707409"/>
    <w:rsid w:val="007159A0"/>
    <w:rsid w:val="00721E76"/>
    <w:rsid w:val="00727FE7"/>
    <w:rsid w:val="00732204"/>
    <w:rsid w:val="00733B52"/>
    <w:rsid w:val="00734888"/>
    <w:rsid w:val="00741FD1"/>
    <w:rsid w:val="00763989"/>
    <w:rsid w:val="0078426B"/>
    <w:rsid w:val="007A19A3"/>
    <w:rsid w:val="007A46F2"/>
    <w:rsid w:val="007C4373"/>
    <w:rsid w:val="007C5F0E"/>
    <w:rsid w:val="007E1F28"/>
    <w:rsid w:val="007E5413"/>
    <w:rsid w:val="007F0494"/>
    <w:rsid w:val="007F391E"/>
    <w:rsid w:val="008006CD"/>
    <w:rsid w:val="00802393"/>
    <w:rsid w:val="008123E5"/>
    <w:rsid w:val="0082069F"/>
    <w:rsid w:val="008305FF"/>
    <w:rsid w:val="008310E7"/>
    <w:rsid w:val="00834FA7"/>
    <w:rsid w:val="00835017"/>
    <w:rsid w:val="00835CAB"/>
    <w:rsid w:val="00843AB9"/>
    <w:rsid w:val="00845BF8"/>
    <w:rsid w:val="008469F5"/>
    <w:rsid w:val="00847BF3"/>
    <w:rsid w:val="008540D8"/>
    <w:rsid w:val="008542DF"/>
    <w:rsid w:val="0085464F"/>
    <w:rsid w:val="00875A48"/>
    <w:rsid w:val="00896C8B"/>
    <w:rsid w:val="008A17B8"/>
    <w:rsid w:val="008A236A"/>
    <w:rsid w:val="008B5248"/>
    <w:rsid w:val="008C0E0D"/>
    <w:rsid w:val="008C4ACC"/>
    <w:rsid w:val="008C635F"/>
    <w:rsid w:val="008C7107"/>
    <w:rsid w:val="008D1C19"/>
    <w:rsid w:val="008D36FF"/>
    <w:rsid w:val="008D71FF"/>
    <w:rsid w:val="008E4EFA"/>
    <w:rsid w:val="008F1DEB"/>
    <w:rsid w:val="00903746"/>
    <w:rsid w:val="009146F8"/>
    <w:rsid w:val="00915031"/>
    <w:rsid w:val="00920655"/>
    <w:rsid w:val="00921E5B"/>
    <w:rsid w:val="0092251E"/>
    <w:rsid w:val="00922793"/>
    <w:rsid w:val="00923A38"/>
    <w:rsid w:val="0093226E"/>
    <w:rsid w:val="00932C95"/>
    <w:rsid w:val="00944F35"/>
    <w:rsid w:val="009453B9"/>
    <w:rsid w:val="009468E4"/>
    <w:rsid w:val="00956835"/>
    <w:rsid w:val="00997555"/>
    <w:rsid w:val="009A0E7E"/>
    <w:rsid w:val="009A6AAC"/>
    <w:rsid w:val="009B7B07"/>
    <w:rsid w:val="009C35EE"/>
    <w:rsid w:val="009C79B5"/>
    <w:rsid w:val="009D4BC9"/>
    <w:rsid w:val="009F01D6"/>
    <w:rsid w:val="009F2DA2"/>
    <w:rsid w:val="009F4B8E"/>
    <w:rsid w:val="00A24FA6"/>
    <w:rsid w:val="00A26A12"/>
    <w:rsid w:val="00A27FCC"/>
    <w:rsid w:val="00A4041F"/>
    <w:rsid w:val="00A414FC"/>
    <w:rsid w:val="00A56FB9"/>
    <w:rsid w:val="00A616A7"/>
    <w:rsid w:val="00A6570A"/>
    <w:rsid w:val="00A6608F"/>
    <w:rsid w:val="00A67A53"/>
    <w:rsid w:val="00A718F7"/>
    <w:rsid w:val="00A96D3F"/>
    <w:rsid w:val="00AA01D2"/>
    <w:rsid w:val="00AA0620"/>
    <w:rsid w:val="00AA0BE7"/>
    <w:rsid w:val="00AA1A1B"/>
    <w:rsid w:val="00AA27FD"/>
    <w:rsid w:val="00AA35FC"/>
    <w:rsid w:val="00AB0352"/>
    <w:rsid w:val="00AC0A0C"/>
    <w:rsid w:val="00AE3DD7"/>
    <w:rsid w:val="00AF0EFC"/>
    <w:rsid w:val="00AF3203"/>
    <w:rsid w:val="00AF5AAE"/>
    <w:rsid w:val="00B15AA9"/>
    <w:rsid w:val="00B16CAF"/>
    <w:rsid w:val="00B20F71"/>
    <w:rsid w:val="00B22BE9"/>
    <w:rsid w:val="00B25B1E"/>
    <w:rsid w:val="00B26932"/>
    <w:rsid w:val="00B425D7"/>
    <w:rsid w:val="00B43FEB"/>
    <w:rsid w:val="00B56D59"/>
    <w:rsid w:val="00B75616"/>
    <w:rsid w:val="00B775E1"/>
    <w:rsid w:val="00B96077"/>
    <w:rsid w:val="00BA39DF"/>
    <w:rsid w:val="00BA7979"/>
    <w:rsid w:val="00BB3D7D"/>
    <w:rsid w:val="00BB64BF"/>
    <w:rsid w:val="00BC19FB"/>
    <w:rsid w:val="00BD4B47"/>
    <w:rsid w:val="00BE1D56"/>
    <w:rsid w:val="00BE4EDD"/>
    <w:rsid w:val="00BE7612"/>
    <w:rsid w:val="00BF18CE"/>
    <w:rsid w:val="00C06A17"/>
    <w:rsid w:val="00C115C7"/>
    <w:rsid w:val="00C16C8C"/>
    <w:rsid w:val="00C1753B"/>
    <w:rsid w:val="00C26555"/>
    <w:rsid w:val="00C41AC6"/>
    <w:rsid w:val="00C45494"/>
    <w:rsid w:val="00C6516B"/>
    <w:rsid w:val="00C677A8"/>
    <w:rsid w:val="00C72CDD"/>
    <w:rsid w:val="00C730C6"/>
    <w:rsid w:val="00C73867"/>
    <w:rsid w:val="00C83081"/>
    <w:rsid w:val="00C94526"/>
    <w:rsid w:val="00CA757B"/>
    <w:rsid w:val="00CB6FC3"/>
    <w:rsid w:val="00CC0357"/>
    <w:rsid w:val="00CC1490"/>
    <w:rsid w:val="00CC729B"/>
    <w:rsid w:val="00CD6262"/>
    <w:rsid w:val="00CE06A2"/>
    <w:rsid w:val="00D15CBE"/>
    <w:rsid w:val="00D21DFE"/>
    <w:rsid w:val="00D22A53"/>
    <w:rsid w:val="00D33895"/>
    <w:rsid w:val="00D356F4"/>
    <w:rsid w:val="00D36816"/>
    <w:rsid w:val="00D47593"/>
    <w:rsid w:val="00D574AE"/>
    <w:rsid w:val="00D618A9"/>
    <w:rsid w:val="00D62BD6"/>
    <w:rsid w:val="00D71B59"/>
    <w:rsid w:val="00D722E9"/>
    <w:rsid w:val="00D7371A"/>
    <w:rsid w:val="00D73D17"/>
    <w:rsid w:val="00D803B9"/>
    <w:rsid w:val="00D83850"/>
    <w:rsid w:val="00DB0F31"/>
    <w:rsid w:val="00DB1B8A"/>
    <w:rsid w:val="00DB434B"/>
    <w:rsid w:val="00DC1E7A"/>
    <w:rsid w:val="00DC21AF"/>
    <w:rsid w:val="00DC6A93"/>
    <w:rsid w:val="00DD6A3F"/>
    <w:rsid w:val="00DE5F10"/>
    <w:rsid w:val="00DF3D7E"/>
    <w:rsid w:val="00E03C1D"/>
    <w:rsid w:val="00E13264"/>
    <w:rsid w:val="00E30665"/>
    <w:rsid w:val="00E34126"/>
    <w:rsid w:val="00E54C13"/>
    <w:rsid w:val="00E55E4E"/>
    <w:rsid w:val="00E60D02"/>
    <w:rsid w:val="00E626E8"/>
    <w:rsid w:val="00E63AE6"/>
    <w:rsid w:val="00E67326"/>
    <w:rsid w:val="00E75341"/>
    <w:rsid w:val="00E76DFB"/>
    <w:rsid w:val="00E76E57"/>
    <w:rsid w:val="00E82FDA"/>
    <w:rsid w:val="00E87D14"/>
    <w:rsid w:val="00E90F4C"/>
    <w:rsid w:val="00EA6798"/>
    <w:rsid w:val="00EB4BE0"/>
    <w:rsid w:val="00EC6712"/>
    <w:rsid w:val="00ED3891"/>
    <w:rsid w:val="00ED6C1F"/>
    <w:rsid w:val="00EE2E93"/>
    <w:rsid w:val="00EE74BD"/>
    <w:rsid w:val="00EF0BDD"/>
    <w:rsid w:val="00EF79AD"/>
    <w:rsid w:val="00F12536"/>
    <w:rsid w:val="00F12A1E"/>
    <w:rsid w:val="00F17230"/>
    <w:rsid w:val="00F21B0E"/>
    <w:rsid w:val="00F22ACE"/>
    <w:rsid w:val="00F24F43"/>
    <w:rsid w:val="00F300A3"/>
    <w:rsid w:val="00F315C2"/>
    <w:rsid w:val="00F37962"/>
    <w:rsid w:val="00F40B7F"/>
    <w:rsid w:val="00F43A8E"/>
    <w:rsid w:val="00F57F3C"/>
    <w:rsid w:val="00F664D1"/>
    <w:rsid w:val="00F747BE"/>
    <w:rsid w:val="00F81F25"/>
    <w:rsid w:val="00F84152"/>
    <w:rsid w:val="00F94B43"/>
    <w:rsid w:val="00F97974"/>
    <w:rsid w:val="00FA72BF"/>
    <w:rsid w:val="00FA7E5F"/>
    <w:rsid w:val="00FB522B"/>
    <w:rsid w:val="00FB5D58"/>
    <w:rsid w:val="00FD1BF9"/>
    <w:rsid w:val="00FD5369"/>
    <w:rsid w:val="00FE0C86"/>
    <w:rsid w:val="00FE1167"/>
    <w:rsid w:val="00FE3416"/>
    <w:rsid w:val="00FE4DAC"/>
    <w:rsid w:val="00FE66C1"/>
    <w:rsid w:val="00FF05AE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2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yuehhsinkuo@gmail.com</dc:creator>
  <cp:keywords/>
  <dc:description/>
  <cp:lastModifiedBy>Maj-Britt Mosegaard Hansen</cp:lastModifiedBy>
  <cp:revision>2</cp:revision>
  <cp:lastPrinted>2022-12-05T11:42:00Z</cp:lastPrinted>
  <dcterms:created xsi:type="dcterms:W3CDTF">2022-12-05T11:43:00Z</dcterms:created>
  <dcterms:modified xsi:type="dcterms:W3CDTF">2022-12-05T11:43:00Z</dcterms:modified>
</cp:coreProperties>
</file>